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E1765">
      <w:pPr>
        <w:spacing w:before="0" w:after="0" w:line="360" w:lineRule="auto"/>
        <w:ind w:left="3780" w:leftChars="1800"/>
        <w:jc w:val="center"/>
        <w:rPr>
          <w:rFonts w:hint="eastAsia" w:ascii="Arial" w:hAnsi="Arial" w:eastAsia="等线" w:cs="Arial"/>
          <w:b/>
          <w:sz w:val="28"/>
          <w:szCs w:val="28"/>
          <w:highlight w:val="none"/>
          <w:lang w:val="en-US" w:eastAsia="zh-CN"/>
        </w:rPr>
      </w:pPr>
      <w:r>
        <w:rPr>
          <w:rFonts w:hint="default" w:ascii="Arial" w:hAnsi="Arial" w:eastAsia="等线" w:cs="Arial"/>
          <w:b/>
          <w:sz w:val="28"/>
          <w:szCs w:val="28"/>
          <w:highlight w:val="none"/>
          <w:lang w:val="en-US" w:eastAsia="zh-CN"/>
        </w:rPr>
        <w:t>合同编号：</w:t>
      </w:r>
    </w:p>
    <w:p w14:paraId="38657A8E">
      <w:pPr>
        <w:spacing w:before="0" w:after="0" w:line="360" w:lineRule="auto"/>
        <w:ind w:left="0"/>
        <w:jc w:val="center"/>
        <w:rPr>
          <w:rFonts w:ascii="Arial" w:hAnsi="Arial" w:eastAsia="等线" w:cs="Arial"/>
          <w:b/>
          <w:sz w:val="52"/>
          <w:highlight w:val="none"/>
        </w:rPr>
      </w:pPr>
    </w:p>
    <w:p w14:paraId="02132C75">
      <w:pPr>
        <w:spacing w:before="0" w:after="0" w:line="360" w:lineRule="auto"/>
        <w:ind w:left="0"/>
        <w:jc w:val="center"/>
        <w:rPr>
          <w:rFonts w:ascii="Arial" w:hAnsi="Arial" w:eastAsia="等线" w:cs="Arial"/>
          <w:b/>
          <w:sz w:val="52"/>
          <w:highlight w:val="none"/>
        </w:rPr>
      </w:pPr>
    </w:p>
    <w:p w14:paraId="5F9DD528">
      <w:pPr>
        <w:spacing w:before="0" w:after="0" w:line="360" w:lineRule="auto"/>
        <w:ind w:left="0"/>
        <w:jc w:val="center"/>
        <w:rPr>
          <w:rFonts w:ascii="Arial" w:hAnsi="Arial" w:eastAsia="等线" w:cs="Arial"/>
          <w:b/>
          <w:sz w:val="52"/>
          <w:highlight w:val="none"/>
        </w:rPr>
      </w:pPr>
    </w:p>
    <w:p w14:paraId="72BED8B4">
      <w:pPr>
        <w:spacing w:before="0" w:after="0" w:line="360" w:lineRule="auto"/>
        <w:ind w:left="0"/>
        <w:jc w:val="center"/>
        <w:rPr>
          <w:rFonts w:ascii="Arial" w:hAnsi="Arial" w:eastAsia="等线" w:cs="Arial"/>
          <w:b/>
          <w:sz w:val="52"/>
          <w:highlight w:val="none"/>
        </w:rPr>
      </w:pPr>
      <w:r>
        <w:rPr>
          <w:rFonts w:ascii="Arial" w:hAnsi="Arial" w:eastAsia="等线" w:cs="Arial"/>
          <w:b/>
          <w:sz w:val="52"/>
          <w:highlight w:val="none"/>
        </w:rPr>
        <w:t>顺德区绿色环保低碳建材项目</w:t>
      </w:r>
    </w:p>
    <w:p w14:paraId="557F8CEA">
      <w:pPr>
        <w:spacing w:before="0" w:after="0" w:line="360" w:lineRule="auto"/>
        <w:ind w:left="0"/>
        <w:jc w:val="center"/>
        <w:rPr>
          <w:rFonts w:hint="eastAsia" w:ascii="Arial" w:hAnsi="Arial" w:eastAsia="等线" w:cs="Arial"/>
          <w:b/>
          <w:sz w:val="52"/>
          <w:highlight w:val="none"/>
          <w:lang w:val="en-US" w:eastAsia="zh-CN"/>
        </w:rPr>
      </w:pPr>
      <w:r>
        <w:rPr>
          <w:rFonts w:ascii="Arial" w:hAnsi="Arial" w:eastAsia="等线" w:cs="Arial"/>
          <w:b/>
          <w:sz w:val="52"/>
          <w:highlight w:val="none"/>
        </w:rPr>
        <w:t>稳定土拌合站</w:t>
      </w:r>
      <w:r>
        <w:rPr>
          <w:rFonts w:hint="eastAsia" w:ascii="Arial" w:hAnsi="Arial" w:eastAsia="等线" w:cs="Arial"/>
          <w:b/>
          <w:sz w:val="52"/>
          <w:highlight w:val="none"/>
          <w:lang w:val="en-US" w:eastAsia="zh-CN"/>
        </w:rPr>
        <w:t>设备</w:t>
      </w:r>
    </w:p>
    <w:p w14:paraId="69159912">
      <w:pPr>
        <w:spacing w:before="0" w:after="0" w:line="360" w:lineRule="auto"/>
        <w:ind w:left="0"/>
        <w:jc w:val="center"/>
        <w:rPr>
          <w:rFonts w:ascii="Arial" w:hAnsi="Arial" w:eastAsia="等线" w:cs="Arial"/>
          <w:b/>
          <w:sz w:val="52"/>
          <w:highlight w:val="none"/>
        </w:rPr>
      </w:pPr>
      <w:r>
        <w:rPr>
          <w:rFonts w:ascii="Arial" w:hAnsi="Arial" w:eastAsia="等线" w:cs="Arial"/>
          <w:b/>
          <w:sz w:val="52"/>
          <w:highlight w:val="none"/>
        </w:rPr>
        <w:t>采购合同</w:t>
      </w:r>
    </w:p>
    <w:p w14:paraId="345E9DB0">
      <w:pPr>
        <w:spacing w:before="0" w:after="0" w:line="360" w:lineRule="auto"/>
        <w:ind w:left="0"/>
        <w:jc w:val="center"/>
        <w:rPr>
          <w:rFonts w:ascii="Arial" w:hAnsi="Arial" w:eastAsia="等线" w:cs="Arial"/>
          <w:b/>
          <w:sz w:val="52"/>
          <w:highlight w:val="none"/>
        </w:rPr>
      </w:pPr>
    </w:p>
    <w:p w14:paraId="06A5889B">
      <w:pPr>
        <w:spacing w:before="0" w:after="0" w:line="360" w:lineRule="auto"/>
        <w:ind w:left="0"/>
        <w:jc w:val="center"/>
        <w:rPr>
          <w:rFonts w:ascii="Arial" w:hAnsi="Arial" w:eastAsia="等线" w:cs="Arial"/>
          <w:b/>
          <w:sz w:val="52"/>
          <w:highlight w:val="none"/>
        </w:rPr>
      </w:pPr>
    </w:p>
    <w:p w14:paraId="60DE4BA7">
      <w:pPr>
        <w:spacing w:before="0" w:after="0" w:line="360" w:lineRule="auto"/>
        <w:ind w:left="0"/>
        <w:jc w:val="center"/>
        <w:rPr>
          <w:rFonts w:ascii="Arial" w:hAnsi="Arial" w:eastAsia="等线" w:cs="Arial"/>
          <w:b/>
          <w:sz w:val="52"/>
          <w:highlight w:val="none"/>
        </w:rPr>
      </w:pPr>
    </w:p>
    <w:p w14:paraId="47E06E7C">
      <w:pPr>
        <w:spacing w:before="0" w:after="0" w:line="360" w:lineRule="auto"/>
        <w:ind w:left="0"/>
        <w:jc w:val="center"/>
        <w:rPr>
          <w:rFonts w:ascii="Arial" w:hAnsi="Arial" w:eastAsia="等线" w:cs="Arial"/>
          <w:b/>
          <w:sz w:val="52"/>
          <w:highlight w:val="none"/>
        </w:rPr>
      </w:pPr>
    </w:p>
    <w:p w14:paraId="5BD123C5">
      <w:pPr>
        <w:spacing w:before="0" w:after="0" w:line="360" w:lineRule="auto"/>
        <w:ind w:left="0"/>
        <w:jc w:val="both"/>
        <w:rPr>
          <w:rFonts w:hint="eastAsia" w:ascii="Arial" w:hAnsi="Arial" w:eastAsia="等线" w:cs="Arial"/>
          <w:b/>
          <w:sz w:val="28"/>
          <w:szCs w:val="28"/>
          <w:highlight w:val="none"/>
          <w:lang w:val="en-US" w:eastAsia="zh-CN"/>
        </w:rPr>
      </w:pPr>
      <w:r>
        <w:rPr>
          <w:rFonts w:hint="eastAsia" w:ascii="Arial" w:hAnsi="Arial" w:eastAsia="等线" w:cs="Arial"/>
          <w:b/>
          <w:sz w:val="28"/>
          <w:szCs w:val="28"/>
          <w:highlight w:val="none"/>
          <w:lang w:val="en-US" w:eastAsia="zh-CN"/>
        </w:rPr>
        <w:t>甲方（买方）：</w:t>
      </w:r>
    </w:p>
    <w:p w14:paraId="0CDD160B">
      <w:pPr>
        <w:spacing w:before="0" w:after="0" w:line="360" w:lineRule="auto"/>
        <w:ind w:left="0"/>
        <w:jc w:val="both"/>
        <w:rPr>
          <w:rFonts w:hint="eastAsia" w:ascii="Arial" w:hAnsi="Arial" w:eastAsia="等线" w:cs="Arial"/>
          <w:b/>
          <w:sz w:val="28"/>
          <w:szCs w:val="28"/>
          <w:highlight w:val="none"/>
          <w:lang w:val="en-US" w:eastAsia="zh-CN"/>
        </w:rPr>
      </w:pPr>
      <w:r>
        <w:rPr>
          <w:rFonts w:hint="eastAsia" w:ascii="Arial" w:hAnsi="Arial" w:eastAsia="等线" w:cs="Arial"/>
          <w:b/>
          <w:sz w:val="28"/>
          <w:szCs w:val="28"/>
          <w:highlight w:val="none"/>
          <w:lang w:val="en-US" w:eastAsia="zh-CN"/>
        </w:rPr>
        <w:t>乙方（卖方）：</w:t>
      </w:r>
    </w:p>
    <w:p w14:paraId="468EAA53">
      <w:pPr>
        <w:spacing w:before="0" w:after="0" w:line="360" w:lineRule="auto"/>
        <w:ind w:left="0"/>
        <w:jc w:val="both"/>
        <w:rPr>
          <w:rFonts w:hint="eastAsia" w:ascii="Arial" w:hAnsi="Arial" w:eastAsia="等线" w:cs="Arial"/>
          <w:b/>
          <w:sz w:val="28"/>
          <w:szCs w:val="28"/>
          <w:highlight w:val="none"/>
          <w:lang w:val="en-US" w:eastAsia="zh-CN"/>
        </w:rPr>
      </w:pPr>
      <w:r>
        <w:rPr>
          <w:rFonts w:hint="eastAsia" w:ascii="Arial" w:hAnsi="Arial" w:eastAsia="等线" w:cs="Arial"/>
          <w:b/>
          <w:spacing w:val="186"/>
          <w:kern w:val="0"/>
          <w:sz w:val="28"/>
          <w:szCs w:val="28"/>
          <w:highlight w:val="none"/>
          <w:fitText w:val="1680" w:id="1834897299"/>
          <w:lang w:val="en-US" w:eastAsia="zh-CN"/>
        </w:rPr>
        <w:t>签约地</w:t>
      </w:r>
      <w:r>
        <w:rPr>
          <w:rFonts w:hint="eastAsia" w:ascii="Arial" w:hAnsi="Arial" w:eastAsia="等线" w:cs="Arial"/>
          <w:b/>
          <w:spacing w:val="2"/>
          <w:kern w:val="0"/>
          <w:sz w:val="28"/>
          <w:szCs w:val="28"/>
          <w:highlight w:val="none"/>
          <w:fitText w:val="1680" w:id="1834897299"/>
          <w:lang w:val="en-US" w:eastAsia="zh-CN"/>
        </w:rPr>
        <w:t>点</w:t>
      </w:r>
      <w:r>
        <w:rPr>
          <w:rFonts w:hint="eastAsia" w:ascii="Arial" w:hAnsi="Arial" w:eastAsia="等线" w:cs="Arial"/>
          <w:b/>
          <w:sz w:val="28"/>
          <w:szCs w:val="28"/>
          <w:highlight w:val="none"/>
          <w:lang w:val="en-US" w:eastAsia="zh-CN"/>
        </w:rPr>
        <w:t>：</w:t>
      </w:r>
    </w:p>
    <w:p w14:paraId="6BA5D392">
      <w:pPr>
        <w:spacing w:before="0" w:after="0" w:line="360" w:lineRule="auto"/>
        <w:ind w:left="0"/>
        <w:jc w:val="both"/>
        <w:rPr>
          <w:rFonts w:hint="default" w:ascii="Arial" w:hAnsi="Arial" w:eastAsia="等线" w:cs="Arial"/>
          <w:b/>
          <w:sz w:val="28"/>
          <w:szCs w:val="28"/>
          <w:highlight w:val="none"/>
          <w:lang w:val="en-US" w:eastAsia="zh-CN"/>
        </w:rPr>
      </w:pPr>
      <w:r>
        <w:rPr>
          <w:rFonts w:hint="eastAsia" w:ascii="Arial" w:hAnsi="Arial" w:eastAsia="等线" w:cs="Arial"/>
          <w:b/>
          <w:spacing w:val="186"/>
          <w:kern w:val="0"/>
          <w:sz w:val="28"/>
          <w:szCs w:val="28"/>
          <w:highlight w:val="none"/>
          <w:fitText w:val="1680" w:id="1929869513"/>
          <w:lang w:val="en-US" w:eastAsia="zh-CN"/>
        </w:rPr>
        <w:t>签订日</w:t>
      </w:r>
      <w:r>
        <w:rPr>
          <w:rFonts w:hint="eastAsia" w:ascii="Arial" w:hAnsi="Arial" w:eastAsia="等线" w:cs="Arial"/>
          <w:b/>
          <w:spacing w:val="2"/>
          <w:kern w:val="0"/>
          <w:sz w:val="28"/>
          <w:szCs w:val="28"/>
          <w:highlight w:val="none"/>
          <w:fitText w:val="1680" w:id="1929869513"/>
          <w:lang w:val="en-US" w:eastAsia="zh-CN"/>
        </w:rPr>
        <w:t>期</w:t>
      </w:r>
      <w:r>
        <w:rPr>
          <w:rFonts w:hint="eastAsia" w:ascii="Arial" w:hAnsi="Arial" w:eastAsia="等线" w:cs="Arial"/>
          <w:b/>
          <w:sz w:val="28"/>
          <w:szCs w:val="28"/>
          <w:highlight w:val="none"/>
          <w:lang w:val="en-US" w:eastAsia="zh-CN"/>
        </w:rPr>
        <w:t>：</w:t>
      </w:r>
    </w:p>
    <w:p w14:paraId="5A7F51C1">
      <w:pPr>
        <w:spacing w:before="0" w:after="0" w:line="240" w:lineRule="auto"/>
        <w:ind w:left="0"/>
        <w:jc w:val="left"/>
        <w:rPr>
          <w:rFonts w:ascii="Arial" w:hAnsi="Arial" w:eastAsia="等线" w:cs="Arial"/>
          <w:b/>
          <w:sz w:val="52"/>
          <w:highlight w:val="none"/>
        </w:rPr>
      </w:pPr>
      <w:r>
        <w:rPr>
          <w:rFonts w:ascii="Arial" w:hAnsi="Arial" w:eastAsia="等线" w:cs="Arial"/>
          <w:b/>
          <w:sz w:val="52"/>
          <w:highlight w:val="none"/>
        </w:rPr>
        <w:br w:type="page"/>
      </w:r>
    </w:p>
    <w:p w14:paraId="744D0996">
      <w:pPr>
        <w:spacing w:before="120" w:after="120" w:line="288" w:lineRule="auto"/>
        <w:ind w:left="0"/>
        <w:jc w:val="left"/>
        <w:rPr>
          <w:highlight w:val="none"/>
        </w:rPr>
      </w:pPr>
      <w:r>
        <w:rPr>
          <w:rFonts w:ascii="Arial" w:hAnsi="Arial" w:eastAsia="等线" w:cs="Arial"/>
          <w:b/>
          <w:sz w:val="22"/>
          <w:highlight w:val="none"/>
        </w:rPr>
        <w:t>甲方（买方）：</w:t>
      </w:r>
    </w:p>
    <w:p w14:paraId="759D54F7">
      <w:pPr>
        <w:spacing w:before="120" w:after="120" w:line="288" w:lineRule="auto"/>
        <w:ind w:left="0"/>
        <w:jc w:val="left"/>
        <w:rPr>
          <w:highlight w:val="none"/>
        </w:rPr>
      </w:pPr>
      <w:r>
        <w:rPr>
          <w:rFonts w:ascii="Arial" w:hAnsi="Arial" w:eastAsia="等线" w:cs="Arial"/>
          <w:sz w:val="22"/>
          <w:highlight w:val="none"/>
        </w:rPr>
        <w:t>统一社会信用代码：</w:t>
      </w:r>
    </w:p>
    <w:p w14:paraId="740B7133">
      <w:pPr>
        <w:spacing w:before="120" w:after="120" w:line="288" w:lineRule="auto"/>
        <w:ind w:left="0"/>
        <w:jc w:val="left"/>
        <w:rPr>
          <w:highlight w:val="none"/>
        </w:rPr>
      </w:pPr>
      <w:r>
        <w:rPr>
          <w:rFonts w:ascii="Arial" w:hAnsi="Arial" w:eastAsia="等线" w:cs="Arial"/>
          <w:sz w:val="22"/>
          <w:highlight w:val="none"/>
        </w:rPr>
        <w:t>地址：</w:t>
      </w:r>
    </w:p>
    <w:p w14:paraId="0E888089">
      <w:pPr>
        <w:spacing w:before="120" w:after="120" w:line="288" w:lineRule="auto"/>
        <w:ind w:left="0"/>
        <w:jc w:val="left"/>
        <w:rPr>
          <w:highlight w:val="none"/>
        </w:rPr>
      </w:pPr>
      <w:r>
        <w:rPr>
          <w:rFonts w:ascii="Arial" w:hAnsi="Arial" w:eastAsia="等线" w:cs="Arial"/>
          <w:sz w:val="22"/>
          <w:highlight w:val="none"/>
        </w:rPr>
        <w:t>法定代表人/委托代理人：</w:t>
      </w:r>
    </w:p>
    <w:p w14:paraId="33C1BB4F">
      <w:pPr>
        <w:spacing w:before="120" w:after="120" w:line="288" w:lineRule="auto"/>
        <w:ind w:left="0"/>
        <w:jc w:val="left"/>
        <w:rPr>
          <w:highlight w:val="none"/>
        </w:rPr>
      </w:pPr>
      <w:r>
        <w:rPr>
          <w:rFonts w:ascii="Arial" w:hAnsi="Arial" w:eastAsia="等线" w:cs="Arial"/>
          <w:sz w:val="22"/>
          <w:highlight w:val="none"/>
        </w:rPr>
        <w:t>联系电话：</w:t>
      </w:r>
    </w:p>
    <w:p w14:paraId="4240F49E">
      <w:pPr>
        <w:spacing w:before="120" w:after="120" w:line="288" w:lineRule="auto"/>
        <w:ind w:left="0"/>
        <w:jc w:val="left"/>
        <w:rPr>
          <w:highlight w:val="none"/>
        </w:rPr>
      </w:pPr>
      <w:r>
        <w:rPr>
          <w:rFonts w:ascii="Arial" w:hAnsi="Arial" w:eastAsia="等线" w:cs="Arial"/>
          <w:b/>
          <w:sz w:val="22"/>
          <w:highlight w:val="none"/>
        </w:rPr>
        <w:t>乙方（卖方）：</w:t>
      </w:r>
    </w:p>
    <w:p w14:paraId="123533C1">
      <w:pPr>
        <w:spacing w:before="120" w:after="120" w:line="288" w:lineRule="auto"/>
        <w:ind w:left="0"/>
        <w:jc w:val="left"/>
        <w:rPr>
          <w:highlight w:val="none"/>
        </w:rPr>
      </w:pPr>
      <w:r>
        <w:rPr>
          <w:rFonts w:ascii="Arial" w:hAnsi="Arial" w:eastAsia="等线" w:cs="Arial"/>
          <w:sz w:val="22"/>
          <w:highlight w:val="none"/>
        </w:rPr>
        <w:t>统一社会信用代码：</w:t>
      </w:r>
    </w:p>
    <w:p w14:paraId="0F45C313">
      <w:pPr>
        <w:spacing w:before="120" w:after="120" w:line="288" w:lineRule="auto"/>
        <w:ind w:left="0"/>
        <w:jc w:val="left"/>
        <w:rPr>
          <w:highlight w:val="none"/>
        </w:rPr>
      </w:pPr>
      <w:r>
        <w:rPr>
          <w:rFonts w:ascii="Arial" w:hAnsi="Arial" w:eastAsia="等线" w:cs="Arial"/>
          <w:sz w:val="22"/>
          <w:highlight w:val="none"/>
        </w:rPr>
        <w:t>地址：</w:t>
      </w:r>
    </w:p>
    <w:p w14:paraId="53C5A2EA">
      <w:pPr>
        <w:spacing w:before="120" w:after="120" w:line="288" w:lineRule="auto"/>
        <w:ind w:left="0"/>
        <w:jc w:val="left"/>
        <w:rPr>
          <w:highlight w:val="none"/>
        </w:rPr>
      </w:pPr>
      <w:r>
        <w:rPr>
          <w:rFonts w:ascii="Arial" w:hAnsi="Arial" w:eastAsia="等线" w:cs="Arial"/>
          <w:sz w:val="22"/>
          <w:highlight w:val="none"/>
        </w:rPr>
        <w:t>法定代表人/委托代理人：</w:t>
      </w:r>
    </w:p>
    <w:p w14:paraId="4BF965C8">
      <w:pPr>
        <w:spacing w:before="120" w:after="120" w:line="288" w:lineRule="auto"/>
        <w:ind w:left="0"/>
        <w:jc w:val="left"/>
        <w:rPr>
          <w:highlight w:val="none"/>
        </w:rPr>
      </w:pPr>
      <w:r>
        <w:rPr>
          <w:rFonts w:ascii="Arial" w:hAnsi="Arial" w:eastAsia="等线" w:cs="Arial"/>
          <w:sz w:val="22"/>
          <w:highlight w:val="none"/>
        </w:rPr>
        <w:t>联系电话：</w:t>
      </w:r>
    </w:p>
    <w:p w14:paraId="7F37F0CA">
      <w:pPr>
        <w:spacing w:before="120" w:after="120" w:line="288" w:lineRule="auto"/>
        <w:ind w:left="0"/>
        <w:jc w:val="left"/>
        <w:rPr>
          <w:rFonts w:ascii="Arial" w:hAnsi="Arial" w:eastAsia="等线" w:cs="Arial"/>
          <w:b/>
          <w:sz w:val="22"/>
          <w:highlight w:val="none"/>
        </w:rPr>
      </w:pPr>
    </w:p>
    <w:p w14:paraId="5309A527">
      <w:pPr>
        <w:spacing w:before="120" w:after="120" w:line="288" w:lineRule="auto"/>
        <w:ind w:left="0" w:firstLine="440" w:firstLineChars="200"/>
        <w:jc w:val="left"/>
        <w:rPr>
          <w:highlight w:val="none"/>
        </w:rPr>
      </w:pPr>
      <w:r>
        <w:rPr>
          <w:rFonts w:ascii="Arial" w:hAnsi="Arial" w:eastAsia="等线" w:cs="Arial"/>
          <w:sz w:val="22"/>
          <w:highlight w:val="none"/>
        </w:rPr>
        <w:t>根据《中华人民共和国民法典》及相关法律法规的规定，在平等、自愿、公平和诚实信用的基础上，甲乙双方经充分协商，就甲方采购乙方</w:t>
      </w:r>
      <w:r>
        <w:rPr>
          <w:rFonts w:hint="eastAsia" w:ascii="Arial" w:hAnsi="Arial" w:eastAsia="等线" w:cs="Arial"/>
          <w:sz w:val="22"/>
          <w:highlight w:val="none"/>
        </w:rPr>
        <w:t>顺德区绿色环保低碳建材项目</w:t>
      </w:r>
      <w:r>
        <w:rPr>
          <w:rFonts w:ascii="Arial" w:hAnsi="Arial" w:eastAsia="等线" w:cs="Arial"/>
          <w:sz w:val="22"/>
          <w:highlight w:val="none"/>
        </w:rPr>
        <w:t>稳定土拌合站设备事宜，特订立本合同，双方共同遵照执行。</w:t>
      </w:r>
    </w:p>
    <w:p w14:paraId="47B07E1F">
      <w:pPr>
        <w:numPr>
          <w:ilvl w:val="0"/>
          <w:numId w:val="0"/>
        </w:numPr>
        <w:spacing w:before="320" w:after="120" w:line="288" w:lineRule="auto"/>
        <w:ind w:left="0"/>
        <w:jc w:val="left"/>
        <w:outlineLvl w:val="1"/>
        <w:rPr>
          <w:rFonts w:ascii="Arial" w:hAnsi="Arial" w:eastAsia="等线" w:cs="Arial"/>
          <w:b/>
          <w:sz w:val="32"/>
          <w:highlight w:val="none"/>
        </w:rPr>
      </w:pPr>
      <w:bookmarkStart w:id="0" w:name="heading_0"/>
      <w:r>
        <w:rPr>
          <w:rFonts w:hint="eastAsia" w:ascii="Arial" w:hAnsi="Arial" w:eastAsia="等线" w:cs="Arial"/>
          <w:b/>
          <w:sz w:val="32"/>
          <w:szCs w:val="22"/>
          <w:highlight w:val="none"/>
        </w:rPr>
        <w:t>第一条</w:t>
      </w:r>
      <w:r>
        <w:rPr>
          <w:rFonts w:hint="eastAsia" w:ascii="Arial" w:hAnsi="Arial" w:eastAsia="等线" w:cs="Arial"/>
          <w:b/>
          <w:sz w:val="32"/>
          <w:szCs w:val="22"/>
          <w:highlight w:val="none"/>
          <w:lang w:val="en-US" w:eastAsia="zh-CN"/>
        </w:rPr>
        <w:t xml:space="preserve">  </w:t>
      </w:r>
      <w:bookmarkEnd w:id="0"/>
      <w:r>
        <w:rPr>
          <w:rFonts w:hint="eastAsia" w:ascii="Arial" w:hAnsi="Arial" w:eastAsia="等线" w:cs="Arial"/>
          <w:b/>
          <w:sz w:val="32"/>
          <w:highlight w:val="none"/>
          <w:lang w:val="en-US" w:eastAsia="zh-CN"/>
        </w:rPr>
        <w:t>采购内容</w:t>
      </w:r>
    </w:p>
    <w:tbl>
      <w:tblPr>
        <w:tblStyle w:val="4"/>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7"/>
        <w:gridCol w:w="1900"/>
        <w:gridCol w:w="1050"/>
        <w:gridCol w:w="894"/>
        <w:gridCol w:w="2303"/>
      </w:tblGrid>
      <w:tr w14:paraId="005F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noWrap w:val="0"/>
            <w:vAlign w:val="center"/>
          </w:tcPr>
          <w:p w14:paraId="782ACD40">
            <w:pPr>
              <w:keepNext w:val="0"/>
              <w:keepLines w:val="0"/>
              <w:numPr>
                <w:ilvl w:val="-1"/>
                <w:numId w:val="0"/>
              </w:numPr>
              <w:spacing w:before="120" w:after="120" w:line="288" w:lineRule="auto"/>
              <w:ind w:firstLine="0" w:firstLineChars="0"/>
              <w:jc w:val="center"/>
              <w:outlineLvl w:val="9"/>
              <w:rPr>
                <w:rFonts w:hint="default" w:ascii="Arial" w:hAnsi="Arial" w:eastAsia="等线" w:cs="Arial"/>
                <w:b/>
                <w:bCs/>
                <w:sz w:val="22"/>
                <w:szCs w:val="22"/>
                <w:highlight w:val="none"/>
                <w:shd w:val="clear" w:color="auto" w:fill="auto"/>
              </w:rPr>
            </w:pPr>
            <w:r>
              <w:rPr>
                <w:rFonts w:hint="default" w:ascii="Arial" w:hAnsi="Arial" w:eastAsia="等线" w:cs="Arial"/>
                <w:b/>
                <w:bCs/>
                <w:sz w:val="22"/>
                <w:szCs w:val="22"/>
                <w:highlight w:val="none"/>
                <w:shd w:val="clear" w:color="auto" w:fill="auto"/>
              </w:rPr>
              <w:t>采购标的</w:t>
            </w:r>
          </w:p>
        </w:tc>
        <w:tc>
          <w:tcPr>
            <w:tcW w:w="1900" w:type="dxa"/>
            <w:noWrap w:val="0"/>
            <w:vAlign w:val="center"/>
          </w:tcPr>
          <w:p w14:paraId="2C149799">
            <w:pPr>
              <w:keepNext w:val="0"/>
              <w:keepLines w:val="0"/>
              <w:numPr>
                <w:ilvl w:val="-1"/>
                <w:numId w:val="0"/>
              </w:numPr>
              <w:spacing w:before="120" w:after="120" w:line="288" w:lineRule="auto"/>
              <w:ind w:firstLine="0" w:firstLineChars="0"/>
              <w:jc w:val="center"/>
              <w:outlineLvl w:val="9"/>
              <w:rPr>
                <w:rFonts w:hint="default" w:ascii="Arial" w:hAnsi="Arial" w:eastAsia="等线" w:cs="Arial"/>
                <w:b/>
                <w:bCs/>
                <w:sz w:val="22"/>
                <w:szCs w:val="22"/>
                <w:highlight w:val="none"/>
                <w:shd w:val="clear" w:color="auto" w:fill="auto"/>
              </w:rPr>
            </w:pPr>
            <w:r>
              <w:rPr>
                <w:rFonts w:hint="default" w:ascii="Arial" w:hAnsi="Arial" w:eastAsia="等线" w:cs="Arial"/>
                <w:b/>
                <w:bCs/>
                <w:sz w:val="22"/>
                <w:szCs w:val="22"/>
                <w:highlight w:val="none"/>
                <w:shd w:val="clear" w:color="auto" w:fill="auto"/>
              </w:rPr>
              <w:t>规格型号</w:t>
            </w:r>
          </w:p>
        </w:tc>
        <w:tc>
          <w:tcPr>
            <w:tcW w:w="1050" w:type="dxa"/>
            <w:noWrap w:val="0"/>
            <w:vAlign w:val="center"/>
          </w:tcPr>
          <w:p w14:paraId="7FE0F256">
            <w:pPr>
              <w:keepNext w:val="0"/>
              <w:keepLines w:val="0"/>
              <w:numPr>
                <w:ilvl w:val="-1"/>
                <w:numId w:val="0"/>
              </w:numPr>
              <w:spacing w:before="120" w:after="120" w:line="288" w:lineRule="auto"/>
              <w:ind w:firstLine="0" w:firstLineChars="0"/>
              <w:jc w:val="center"/>
              <w:outlineLvl w:val="9"/>
              <w:rPr>
                <w:rFonts w:hint="default" w:ascii="Arial" w:hAnsi="Arial" w:eastAsia="等线" w:cs="Arial"/>
                <w:b/>
                <w:bCs/>
                <w:sz w:val="22"/>
                <w:szCs w:val="22"/>
                <w:highlight w:val="none"/>
                <w:shd w:val="clear" w:color="auto" w:fill="auto"/>
              </w:rPr>
            </w:pPr>
            <w:r>
              <w:rPr>
                <w:rFonts w:hint="default" w:ascii="Arial" w:hAnsi="Arial" w:eastAsia="等线" w:cs="Arial"/>
                <w:b/>
                <w:bCs/>
                <w:sz w:val="22"/>
                <w:szCs w:val="22"/>
                <w:highlight w:val="none"/>
                <w:shd w:val="clear" w:color="auto" w:fill="auto"/>
              </w:rPr>
              <w:t>数量</w:t>
            </w:r>
          </w:p>
        </w:tc>
        <w:tc>
          <w:tcPr>
            <w:tcW w:w="894" w:type="dxa"/>
            <w:noWrap w:val="0"/>
            <w:vAlign w:val="center"/>
          </w:tcPr>
          <w:p w14:paraId="646BF45B">
            <w:pPr>
              <w:keepNext w:val="0"/>
              <w:keepLines w:val="0"/>
              <w:numPr>
                <w:ilvl w:val="-1"/>
                <w:numId w:val="0"/>
              </w:numPr>
              <w:spacing w:before="120" w:after="120" w:line="288" w:lineRule="auto"/>
              <w:ind w:firstLine="0" w:firstLineChars="0"/>
              <w:jc w:val="center"/>
              <w:outlineLvl w:val="9"/>
              <w:rPr>
                <w:rFonts w:hint="default" w:ascii="Arial" w:hAnsi="Arial" w:eastAsia="等线" w:cs="Arial"/>
                <w:b/>
                <w:bCs/>
                <w:sz w:val="22"/>
                <w:szCs w:val="22"/>
                <w:highlight w:val="none"/>
                <w:shd w:val="clear" w:color="auto" w:fill="auto"/>
              </w:rPr>
            </w:pPr>
            <w:r>
              <w:rPr>
                <w:rFonts w:hint="default" w:ascii="Arial" w:hAnsi="Arial" w:eastAsia="等线" w:cs="Arial"/>
                <w:b/>
                <w:bCs/>
                <w:sz w:val="22"/>
                <w:szCs w:val="22"/>
                <w:highlight w:val="none"/>
                <w:shd w:val="clear" w:color="auto" w:fill="auto"/>
              </w:rPr>
              <w:t>单位</w:t>
            </w:r>
          </w:p>
        </w:tc>
        <w:tc>
          <w:tcPr>
            <w:tcW w:w="2303" w:type="dxa"/>
            <w:noWrap w:val="0"/>
            <w:vAlign w:val="center"/>
          </w:tcPr>
          <w:p w14:paraId="3220AC18">
            <w:pPr>
              <w:keepNext w:val="0"/>
              <w:keepLines w:val="0"/>
              <w:numPr>
                <w:ilvl w:val="-1"/>
                <w:numId w:val="0"/>
              </w:numPr>
              <w:spacing w:before="120" w:after="120" w:line="288" w:lineRule="auto"/>
              <w:ind w:firstLine="0" w:firstLineChars="0"/>
              <w:jc w:val="center"/>
              <w:outlineLvl w:val="9"/>
              <w:rPr>
                <w:rFonts w:hint="default" w:ascii="Arial" w:hAnsi="Arial" w:eastAsia="等线" w:cs="Arial"/>
                <w:b/>
                <w:bCs/>
                <w:sz w:val="22"/>
                <w:szCs w:val="22"/>
                <w:highlight w:val="none"/>
                <w:shd w:val="clear" w:color="auto" w:fill="auto"/>
              </w:rPr>
            </w:pPr>
            <w:r>
              <w:rPr>
                <w:rFonts w:hint="default" w:ascii="Arial" w:hAnsi="Arial" w:eastAsia="等线" w:cs="Arial"/>
                <w:b/>
                <w:bCs/>
                <w:sz w:val="22"/>
                <w:szCs w:val="22"/>
                <w:highlight w:val="none"/>
                <w:shd w:val="clear" w:color="auto" w:fill="auto"/>
              </w:rPr>
              <w:t>备注</w:t>
            </w:r>
          </w:p>
        </w:tc>
      </w:tr>
      <w:tr w14:paraId="2A6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7" w:type="dxa"/>
            <w:noWrap w:val="0"/>
            <w:vAlign w:val="center"/>
          </w:tcPr>
          <w:p w14:paraId="7E45522F">
            <w:pPr>
              <w:keepNext w:val="0"/>
              <w:keepLines w:val="0"/>
              <w:numPr>
                <w:ilvl w:val="-1"/>
                <w:numId w:val="0"/>
              </w:numPr>
              <w:spacing w:before="120" w:after="120" w:line="288" w:lineRule="auto"/>
              <w:ind w:firstLine="0" w:firstLineChars="0"/>
              <w:jc w:val="center"/>
              <w:outlineLvl w:val="9"/>
              <w:rPr>
                <w:rFonts w:hint="default" w:ascii="Arial" w:hAnsi="Arial" w:eastAsia="等线" w:cs="Arial"/>
                <w:sz w:val="22"/>
                <w:szCs w:val="22"/>
                <w:highlight w:val="none"/>
                <w:shd w:val="clear" w:color="auto" w:fill="auto"/>
              </w:rPr>
            </w:pPr>
            <w:r>
              <w:rPr>
                <w:rFonts w:hint="default" w:ascii="Arial" w:hAnsi="Arial" w:eastAsia="等线" w:cs="Arial"/>
                <w:sz w:val="22"/>
                <w:highlight w:val="none"/>
                <w:lang w:bidi="ar"/>
              </w:rPr>
              <w:t>顺德区绿色环保低碳建材项目稳定土拌合站设备</w:t>
            </w:r>
          </w:p>
        </w:tc>
        <w:tc>
          <w:tcPr>
            <w:tcW w:w="1900" w:type="dxa"/>
            <w:noWrap w:val="0"/>
            <w:vAlign w:val="center"/>
          </w:tcPr>
          <w:p w14:paraId="3FAC8BFA">
            <w:pPr>
              <w:keepNext w:val="0"/>
              <w:keepLines w:val="0"/>
              <w:numPr>
                <w:ilvl w:val="-1"/>
                <w:numId w:val="0"/>
              </w:numPr>
              <w:spacing w:before="120" w:after="120" w:line="288" w:lineRule="auto"/>
              <w:ind w:firstLine="0" w:firstLineChars="0"/>
              <w:jc w:val="center"/>
              <w:outlineLvl w:val="9"/>
              <w:rPr>
                <w:rFonts w:hint="eastAsia" w:ascii="Arial" w:hAnsi="Arial" w:eastAsia="等线" w:cs="Arial"/>
                <w:sz w:val="22"/>
                <w:szCs w:val="22"/>
                <w:highlight w:val="none"/>
                <w:shd w:val="clear" w:color="auto" w:fill="auto"/>
                <w:lang w:val="en-US" w:eastAsia="zh-CN"/>
              </w:rPr>
            </w:pPr>
            <w:r>
              <w:rPr>
                <w:rFonts w:hint="default" w:ascii="Arial" w:hAnsi="Arial" w:eastAsia="等线" w:cs="Arial"/>
                <w:sz w:val="22"/>
                <w:highlight w:val="none"/>
              </w:rPr>
              <w:t>600</w:t>
            </w:r>
            <w:r>
              <w:rPr>
                <w:rFonts w:hint="eastAsia" w:ascii="Arial" w:hAnsi="Arial" w:eastAsia="等线" w:cs="Arial"/>
                <w:sz w:val="22"/>
                <w:highlight w:val="none"/>
                <w:lang w:val="en-US" w:eastAsia="zh-CN"/>
              </w:rPr>
              <w:t>型</w:t>
            </w:r>
          </w:p>
        </w:tc>
        <w:tc>
          <w:tcPr>
            <w:tcW w:w="1050" w:type="dxa"/>
            <w:noWrap w:val="0"/>
            <w:vAlign w:val="center"/>
          </w:tcPr>
          <w:p w14:paraId="0040E814">
            <w:pPr>
              <w:keepNext w:val="0"/>
              <w:keepLines w:val="0"/>
              <w:numPr>
                <w:ilvl w:val="-1"/>
                <w:numId w:val="0"/>
              </w:numPr>
              <w:spacing w:before="120" w:after="120" w:line="288" w:lineRule="auto"/>
              <w:ind w:firstLine="0" w:firstLineChars="0"/>
              <w:jc w:val="center"/>
              <w:outlineLvl w:val="9"/>
              <w:rPr>
                <w:rFonts w:hint="default" w:ascii="Arial" w:hAnsi="Arial" w:eastAsia="等线" w:cs="Arial"/>
                <w:sz w:val="22"/>
                <w:szCs w:val="22"/>
                <w:highlight w:val="none"/>
                <w:shd w:val="clear" w:color="auto" w:fill="auto"/>
              </w:rPr>
            </w:pPr>
            <w:r>
              <w:rPr>
                <w:rFonts w:hint="default" w:ascii="Arial" w:hAnsi="Arial" w:eastAsia="等线" w:cs="Arial"/>
                <w:sz w:val="22"/>
                <w:szCs w:val="22"/>
                <w:highlight w:val="none"/>
                <w:shd w:val="clear" w:color="auto" w:fill="auto"/>
              </w:rPr>
              <w:t>1</w:t>
            </w:r>
          </w:p>
        </w:tc>
        <w:tc>
          <w:tcPr>
            <w:tcW w:w="894" w:type="dxa"/>
            <w:noWrap w:val="0"/>
            <w:vAlign w:val="center"/>
          </w:tcPr>
          <w:p w14:paraId="201F53F2">
            <w:pPr>
              <w:keepNext w:val="0"/>
              <w:keepLines w:val="0"/>
              <w:numPr>
                <w:ilvl w:val="-1"/>
                <w:numId w:val="0"/>
              </w:numPr>
              <w:spacing w:before="120" w:after="120" w:line="288" w:lineRule="auto"/>
              <w:ind w:firstLine="0" w:firstLineChars="0"/>
              <w:jc w:val="center"/>
              <w:outlineLvl w:val="9"/>
              <w:rPr>
                <w:rFonts w:hint="default" w:ascii="Arial" w:hAnsi="Arial" w:eastAsia="等线" w:cs="Arial"/>
                <w:sz w:val="22"/>
                <w:szCs w:val="22"/>
                <w:highlight w:val="none"/>
                <w:shd w:val="clear" w:color="auto" w:fill="auto"/>
                <w:lang w:eastAsia="zh-CN"/>
              </w:rPr>
            </w:pPr>
            <w:r>
              <w:rPr>
                <w:rFonts w:hint="default" w:ascii="Arial" w:hAnsi="Arial" w:eastAsia="等线" w:cs="Arial"/>
                <w:sz w:val="22"/>
                <w:szCs w:val="22"/>
                <w:highlight w:val="none"/>
                <w:shd w:val="clear" w:color="auto" w:fill="auto"/>
                <w:lang w:val="en-US" w:eastAsia="zh-CN"/>
              </w:rPr>
              <w:t>套</w:t>
            </w:r>
          </w:p>
        </w:tc>
        <w:tc>
          <w:tcPr>
            <w:tcW w:w="2303" w:type="dxa"/>
            <w:noWrap w:val="0"/>
            <w:vAlign w:val="center"/>
          </w:tcPr>
          <w:p w14:paraId="6E4012E1">
            <w:pPr>
              <w:numPr>
                <w:ilvl w:val="-1"/>
                <w:numId w:val="0"/>
              </w:numPr>
              <w:spacing w:before="120" w:after="120" w:line="288" w:lineRule="auto"/>
              <w:ind w:firstLine="0" w:firstLineChars="0"/>
              <w:jc w:val="center"/>
              <w:rPr>
                <w:rFonts w:hint="default" w:ascii="Arial" w:hAnsi="Arial" w:eastAsia="等线" w:cs="Arial"/>
                <w:sz w:val="22"/>
                <w:szCs w:val="22"/>
                <w:highlight w:val="none"/>
                <w:shd w:val="clear" w:color="auto" w:fill="auto"/>
                <w:lang w:val="en-US" w:eastAsia="zh-CN"/>
              </w:rPr>
            </w:pPr>
            <w:r>
              <w:rPr>
                <w:rFonts w:hint="eastAsia" w:ascii="Arial" w:hAnsi="Arial" w:eastAsia="等线" w:cs="Arial"/>
                <w:sz w:val="22"/>
                <w:szCs w:val="22"/>
                <w:highlight w:val="none"/>
                <w:shd w:val="clear"/>
                <w:lang w:val="en-US" w:eastAsia="zh-CN"/>
              </w:rPr>
              <w:t>设备配置</w:t>
            </w:r>
            <w:r>
              <w:rPr>
                <w:rFonts w:hint="default" w:ascii="Arial" w:hAnsi="Arial" w:eastAsia="等线" w:cs="Arial"/>
                <w:sz w:val="22"/>
                <w:szCs w:val="22"/>
                <w:highlight w:val="none"/>
                <w:shd w:val="clear" w:color="auto" w:fill="auto"/>
              </w:rPr>
              <w:t>明细</w:t>
            </w:r>
            <w:r>
              <w:rPr>
                <w:rFonts w:hint="eastAsia" w:ascii="Arial" w:hAnsi="Arial" w:eastAsia="等线" w:cs="Arial"/>
                <w:sz w:val="22"/>
                <w:szCs w:val="22"/>
                <w:highlight w:val="none"/>
                <w:shd w:val="clear"/>
                <w:lang w:val="en-US" w:eastAsia="zh-CN"/>
              </w:rPr>
              <w:t>以经甲方确认的深化方案为准</w:t>
            </w:r>
          </w:p>
        </w:tc>
      </w:tr>
    </w:tbl>
    <w:p w14:paraId="509A28FC">
      <w:pPr>
        <w:numPr>
          <w:ilvl w:val="-1"/>
          <w:numId w:val="0"/>
        </w:numPr>
        <w:spacing w:before="320" w:after="120" w:line="288" w:lineRule="auto"/>
        <w:ind w:left="0"/>
        <w:jc w:val="left"/>
        <w:outlineLvl w:val="1"/>
        <w:rPr>
          <w:rFonts w:hint="default" w:ascii="Arial" w:hAnsi="Arial" w:eastAsia="等线" w:cs="Arial"/>
          <w:b/>
          <w:sz w:val="32"/>
          <w:highlight w:val="none"/>
          <w:lang w:val="en-US" w:eastAsia="zh-CN"/>
        </w:rPr>
      </w:pPr>
      <w:r>
        <w:rPr>
          <w:rFonts w:hint="eastAsia" w:ascii="Arial" w:hAnsi="Arial" w:eastAsia="等线" w:cs="Arial"/>
          <w:b/>
          <w:sz w:val="32"/>
          <w:highlight w:val="none"/>
          <w:lang w:val="en-US" w:eastAsia="zh-CN"/>
        </w:rPr>
        <w:t>第二条  技术质量要求</w:t>
      </w:r>
    </w:p>
    <w:p w14:paraId="21E4A76D">
      <w:pPr>
        <w:spacing w:before="300" w:after="120" w:line="288" w:lineRule="auto"/>
        <w:ind w:left="0"/>
        <w:jc w:val="left"/>
        <w:outlineLvl w:val="2"/>
        <w:rPr>
          <w:highlight w:val="none"/>
        </w:rPr>
      </w:pPr>
      <w:bookmarkStart w:id="1" w:name="heading_2"/>
      <w:r>
        <w:rPr>
          <w:rFonts w:hint="eastAsia" w:ascii="Arial" w:hAnsi="Arial" w:eastAsia="等线" w:cs="Arial"/>
          <w:b/>
          <w:sz w:val="30"/>
          <w:highlight w:val="none"/>
          <w:lang w:val="en-US" w:eastAsia="zh-CN"/>
        </w:rPr>
        <w:t>2</w:t>
      </w:r>
      <w:r>
        <w:rPr>
          <w:rFonts w:ascii="Arial" w:hAnsi="Arial" w:eastAsia="等线" w:cs="Arial"/>
          <w:b/>
          <w:sz w:val="30"/>
          <w:highlight w:val="none"/>
        </w:rPr>
        <w:t>.</w:t>
      </w:r>
      <w:r>
        <w:rPr>
          <w:rFonts w:hint="eastAsia" w:ascii="Arial" w:hAnsi="Arial" w:eastAsia="等线" w:cs="Arial"/>
          <w:b/>
          <w:sz w:val="30"/>
          <w:highlight w:val="none"/>
          <w:lang w:val="en-US" w:eastAsia="zh-CN"/>
        </w:rPr>
        <w:t>1</w:t>
      </w:r>
      <w:r>
        <w:rPr>
          <w:rFonts w:ascii="Arial" w:hAnsi="Arial" w:eastAsia="等线" w:cs="Arial"/>
          <w:b/>
          <w:sz w:val="30"/>
          <w:highlight w:val="none"/>
        </w:rPr>
        <w:t xml:space="preserve"> 设备技术参数标准</w:t>
      </w:r>
      <w:bookmarkEnd w:id="1"/>
    </w:p>
    <w:p w14:paraId="7224F044">
      <w:pPr>
        <w:spacing w:before="120" w:after="120" w:line="288" w:lineRule="auto"/>
        <w:ind w:left="0"/>
        <w:jc w:val="left"/>
        <w:rPr>
          <w:highlight w:val="none"/>
        </w:rPr>
      </w:pPr>
      <w:r>
        <w:rPr>
          <w:rFonts w:ascii="Arial" w:hAnsi="Arial" w:eastAsia="等线" w:cs="Arial"/>
          <w:sz w:val="22"/>
          <w:highlight w:val="none"/>
        </w:rPr>
        <w:t>乙方所供</w:t>
      </w:r>
      <w:r>
        <w:rPr>
          <w:rFonts w:hint="eastAsia" w:ascii="Arial" w:hAnsi="Arial" w:eastAsia="等线" w:cs="Arial"/>
          <w:sz w:val="22"/>
          <w:highlight w:val="none"/>
          <w:lang w:val="en-US" w:eastAsia="zh-CN"/>
        </w:rPr>
        <w:t>货物</w:t>
      </w:r>
      <w:r>
        <w:rPr>
          <w:rFonts w:ascii="Arial" w:hAnsi="Arial" w:eastAsia="等线" w:cs="Arial"/>
          <w:sz w:val="22"/>
          <w:highlight w:val="none"/>
        </w:rPr>
        <w:t>必须严格符合以下技术参数标准，不得低于约定指标：</w:t>
      </w:r>
    </w:p>
    <w:tbl>
      <w:tblPr>
        <w:tblStyle w:val="4"/>
        <w:tblW w:w="0" w:type="auto"/>
        <w:tblCellSpacing w:w="15" w:type="dxa"/>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1802"/>
        <w:gridCol w:w="6503"/>
      </w:tblGrid>
      <w:tr w14:paraId="286B1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Header/>
          <w:tblCellSpacing w:w="15" w:type="dxa"/>
        </w:trPr>
        <w:tc>
          <w:tcPr>
            <w:tcW w:w="1779" w:type="dxa"/>
            <w:tcBorders>
              <w:tl2br w:val="nil"/>
              <w:tr2bl w:val="nil"/>
            </w:tcBorders>
            <w:shd w:val="clear" w:color="auto" w:fill="auto"/>
            <w:vAlign w:val="center"/>
          </w:tcPr>
          <w:p w14:paraId="0AF61C2E">
            <w:pPr>
              <w:keepNext w:val="0"/>
              <w:keepLines w:val="0"/>
              <w:widowControl/>
              <w:suppressLineNumbers w:val="0"/>
              <w:spacing w:before="0" w:beforeAutospacing="0" w:after="0" w:afterAutospacing="0" w:line="360" w:lineRule="atLeast"/>
              <w:ind w:left="0" w:right="0"/>
              <w:jc w:val="center"/>
              <w:rPr>
                <w:rFonts w:ascii="宋体" w:hAnsi="宋体" w:eastAsia="宋体" w:cs="宋体"/>
                <w:b/>
                <w:bCs/>
                <w:color w:val="000000"/>
                <w:kern w:val="0"/>
                <w:sz w:val="24"/>
                <w:szCs w:val="24"/>
                <w:highlight w:val="none"/>
                <w:lang w:val="en-US" w:eastAsia="zh-CN" w:bidi="ar"/>
              </w:rPr>
            </w:pPr>
            <w:r>
              <w:rPr>
                <w:rFonts w:ascii="宋体" w:hAnsi="宋体" w:eastAsia="宋体" w:cs="宋体"/>
                <w:b/>
                <w:bCs/>
                <w:color w:val="000000"/>
                <w:kern w:val="0"/>
                <w:sz w:val="24"/>
                <w:szCs w:val="24"/>
                <w:highlight w:val="none"/>
                <w:lang w:val="en-US" w:eastAsia="zh-CN" w:bidi="ar"/>
              </w:rPr>
              <w:t>对比项目</w:t>
            </w:r>
          </w:p>
        </w:tc>
        <w:tc>
          <w:tcPr>
            <w:tcW w:w="6536" w:type="dxa"/>
            <w:tcBorders>
              <w:tl2br w:val="nil"/>
              <w:tr2bl w:val="nil"/>
            </w:tcBorders>
            <w:shd w:val="clear" w:color="auto" w:fill="auto"/>
            <w:vAlign w:val="center"/>
          </w:tcPr>
          <w:p w14:paraId="1AD94F10">
            <w:pPr>
              <w:keepNext w:val="0"/>
              <w:keepLines w:val="0"/>
              <w:widowControl/>
              <w:suppressLineNumbers w:val="0"/>
              <w:spacing w:before="0" w:beforeAutospacing="0" w:after="0" w:afterAutospacing="0" w:line="360" w:lineRule="atLeast"/>
              <w:ind w:left="0" w:right="0"/>
              <w:jc w:val="center"/>
              <w:rPr>
                <w:rFonts w:hint="eastAsia"/>
                <w:b/>
                <w:bCs/>
                <w:color w:val="000000"/>
                <w:sz w:val="24"/>
                <w:szCs w:val="24"/>
                <w:highlight w:val="none"/>
                <w:lang w:val="en-US" w:eastAsia="zh-CN"/>
              </w:rPr>
            </w:pPr>
            <w:r>
              <w:rPr>
                <w:rFonts w:hint="eastAsia"/>
                <w:b/>
                <w:bCs/>
                <w:color w:val="000000"/>
                <w:sz w:val="24"/>
                <w:szCs w:val="24"/>
                <w:highlight w:val="none"/>
                <w:lang w:val="en-US" w:eastAsia="zh-CN"/>
              </w:rPr>
              <w:t>性能参数</w:t>
            </w:r>
          </w:p>
        </w:tc>
      </w:tr>
      <w:tr w14:paraId="33926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1DDF55B3">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理论产能</w:t>
            </w:r>
          </w:p>
        </w:tc>
        <w:tc>
          <w:tcPr>
            <w:tcW w:w="6536" w:type="dxa"/>
            <w:tcBorders>
              <w:tl2br w:val="nil"/>
              <w:tr2bl w:val="nil"/>
            </w:tcBorders>
            <w:shd w:val="clear" w:color="auto" w:fill="auto"/>
            <w:vAlign w:val="center"/>
          </w:tcPr>
          <w:p w14:paraId="3436EB76">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≥600t/h</w:t>
            </w:r>
          </w:p>
        </w:tc>
      </w:tr>
      <w:tr w14:paraId="6DB75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0BB32321">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整机功率</w:t>
            </w:r>
          </w:p>
        </w:tc>
        <w:tc>
          <w:tcPr>
            <w:tcW w:w="6536" w:type="dxa"/>
            <w:tcBorders>
              <w:tl2br w:val="nil"/>
              <w:tr2bl w:val="nil"/>
            </w:tcBorders>
            <w:shd w:val="clear" w:color="auto" w:fill="auto"/>
            <w:vAlign w:val="center"/>
          </w:tcPr>
          <w:p w14:paraId="4AEF3D72">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50</w:t>
            </w:r>
            <w:r>
              <w:rPr>
                <w:rFonts w:ascii="宋体" w:hAnsi="宋体" w:eastAsia="宋体" w:cs="宋体"/>
                <w:color w:val="000000"/>
                <w:kern w:val="0"/>
                <w:sz w:val="24"/>
                <w:szCs w:val="24"/>
                <w:highlight w:val="none"/>
                <w:lang w:val="en-US" w:eastAsia="zh-CN" w:bidi="ar"/>
              </w:rPr>
              <w:t>kW</w:t>
            </w:r>
          </w:p>
        </w:tc>
      </w:tr>
      <w:tr w14:paraId="4E6F9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1090D81F">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单仓骨料容积</w:t>
            </w:r>
          </w:p>
        </w:tc>
        <w:tc>
          <w:tcPr>
            <w:tcW w:w="6536" w:type="dxa"/>
            <w:tcBorders>
              <w:tl2br w:val="nil"/>
              <w:tr2bl w:val="nil"/>
            </w:tcBorders>
            <w:shd w:val="clear" w:color="auto" w:fill="auto"/>
            <w:vAlign w:val="center"/>
          </w:tcPr>
          <w:p w14:paraId="3A329BF6">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≥15m³×4 仓</w:t>
            </w:r>
          </w:p>
        </w:tc>
      </w:tr>
      <w:tr w14:paraId="31DB0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62FBCDAC">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骨料计量精度</w:t>
            </w:r>
          </w:p>
        </w:tc>
        <w:tc>
          <w:tcPr>
            <w:tcW w:w="6536" w:type="dxa"/>
            <w:tcBorders>
              <w:tl2br w:val="nil"/>
              <w:tr2bl w:val="nil"/>
            </w:tcBorders>
            <w:shd w:val="clear" w:color="auto" w:fill="auto"/>
            <w:vAlign w:val="center"/>
          </w:tcPr>
          <w:p w14:paraId="378ADC66">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2</w:t>
            </w:r>
            <w:r>
              <w:rPr>
                <w:rFonts w:ascii="宋体" w:hAnsi="宋体" w:eastAsia="宋体" w:cs="宋体"/>
                <w:color w:val="000000"/>
                <w:kern w:val="0"/>
                <w:sz w:val="24"/>
                <w:szCs w:val="24"/>
                <w:highlight w:val="none"/>
                <w:lang w:val="en-US" w:eastAsia="zh-CN" w:bidi="ar"/>
              </w:rPr>
              <w:t>%</w:t>
            </w:r>
          </w:p>
        </w:tc>
      </w:tr>
      <w:tr w14:paraId="6E473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091C2BBA">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水泥计量精度</w:t>
            </w:r>
          </w:p>
        </w:tc>
        <w:tc>
          <w:tcPr>
            <w:tcW w:w="6536" w:type="dxa"/>
            <w:tcBorders>
              <w:tl2br w:val="nil"/>
              <w:tr2bl w:val="nil"/>
            </w:tcBorders>
            <w:shd w:val="clear" w:color="auto" w:fill="auto"/>
            <w:vAlign w:val="center"/>
          </w:tcPr>
          <w:p w14:paraId="25232505">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±1%</w:t>
            </w:r>
          </w:p>
        </w:tc>
      </w:tr>
      <w:tr w14:paraId="08CFB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6C167BBC">
            <w:pPr>
              <w:keepNext w:val="0"/>
              <w:keepLines w:val="0"/>
              <w:widowControl/>
              <w:suppressLineNumbers w:val="0"/>
              <w:spacing w:before="0" w:beforeAutospacing="0" w:after="0" w:afterAutospacing="0" w:line="360" w:lineRule="atLeast"/>
              <w:ind w:left="0" w:right="0"/>
              <w:jc w:val="center"/>
              <w:rPr>
                <w:rFonts w:ascii="宋体" w:hAnsi="宋体" w:eastAsia="宋体" w:cs="宋体"/>
                <w:color w:val="000000"/>
                <w:kern w:val="0"/>
                <w:sz w:val="24"/>
                <w:szCs w:val="24"/>
                <w:highlight w:val="none"/>
                <w:lang w:val="en-US" w:eastAsia="zh-CN" w:bidi="ar"/>
              </w:rPr>
            </w:pPr>
            <w:r>
              <w:rPr>
                <w:color w:val="000000"/>
                <w:sz w:val="24"/>
                <w:szCs w:val="24"/>
                <w:highlight w:val="none"/>
              </w:rPr>
              <w:t>粉料系统</w:t>
            </w:r>
          </w:p>
        </w:tc>
        <w:tc>
          <w:tcPr>
            <w:tcW w:w="6536" w:type="dxa"/>
            <w:tcBorders>
              <w:tl2br w:val="nil"/>
              <w:tr2bl w:val="nil"/>
            </w:tcBorders>
            <w:shd w:val="clear" w:color="auto" w:fill="auto"/>
            <w:vAlign w:val="center"/>
          </w:tcPr>
          <w:p w14:paraId="1CBB7FB9">
            <w:pPr>
              <w:keepNext w:val="0"/>
              <w:keepLines w:val="0"/>
              <w:widowControl/>
              <w:suppressLineNumbers w:val="0"/>
              <w:spacing w:before="0" w:beforeAutospacing="0" w:after="0" w:afterAutospacing="0" w:line="360" w:lineRule="atLeast"/>
              <w:ind w:left="0" w:right="0"/>
              <w:jc w:val="left"/>
              <w:rPr>
                <w:rFonts w:ascii="宋体" w:hAnsi="宋体" w:eastAsia="宋体" w:cs="宋体"/>
                <w:color w:val="000000"/>
                <w:kern w:val="0"/>
                <w:sz w:val="24"/>
                <w:szCs w:val="24"/>
                <w:highlight w:val="none"/>
                <w:lang w:val="en-US" w:eastAsia="zh-CN" w:bidi="ar"/>
              </w:rPr>
            </w:pPr>
            <w:r>
              <w:rPr>
                <w:color w:val="000000"/>
                <w:sz w:val="24"/>
                <w:szCs w:val="24"/>
                <w:highlight w:val="none"/>
              </w:rPr>
              <w:t>水泥仓 + 螺旋，2 个 100T 仓</w:t>
            </w:r>
          </w:p>
        </w:tc>
      </w:tr>
      <w:tr w14:paraId="35C0A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266557EC">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成品仓容积</w:t>
            </w:r>
          </w:p>
        </w:tc>
        <w:tc>
          <w:tcPr>
            <w:tcW w:w="6536" w:type="dxa"/>
            <w:tcBorders>
              <w:tl2br w:val="nil"/>
              <w:tr2bl w:val="nil"/>
            </w:tcBorders>
            <w:shd w:val="clear" w:color="auto" w:fill="auto"/>
            <w:vAlign w:val="center"/>
          </w:tcPr>
          <w:p w14:paraId="45F4CAB4">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8</w:t>
            </w:r>
            <w:r>
              <w:rPr>
                <w:rFonts w:ascii="宋体" w:hAnsi="宋体" w:eastAsia="宋体" w:cs="宋体"/>
                <w:color w:val="000000"/>
                <w:kern w:val="0"/>
                <w:sz w:val="24"/>
                <w:szCs w:val="24"/>
                <w:highlight w:val="none"/>
                <w:lang w:val="en-US" w:eastAsia="zh-CN" w:bidi="ar"/>
              </w:rPr>
              <w:t>m³</w:t>
            </w:r>
          </w:p>
        </w:tc>
      </w:tr>
      <w:tr w14:paraId="7EC77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091F194C">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骨料最大粒径</w:t>
            </w:r>
          </w:p>
        </w:tc>
        <w:tc>
          <w:tcPr>
            <w:tcW w:w="6536" w:type="dxa"/>
            <w:tcBorders>
              <w:tl2br w:val="nil"/>
              <w:tr2bl w:val="nil"/>
            </w:tcBorders>
            <w:shd w:val="clear" w:color="auto" w:fill="auto"/>
            <w:vAlign w:val="center"/>
          </w:tcPr>
          <w:p w14:paraId="75A42592">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≥60mm</w:t>
            </w:r>
          </w:p>
        </w:tc>
      </w:tr>
      <w:tr w14:paraId="2A1EC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blCellSpacing w:w="15" w:type="dxa"/>
        </w:trPr>
        <w:tc>
          <w:tcPr>
            <w:tcW w:w="1779" w:type="dxa"/>
            <w:tcBorders>
              <w:tl2br w:val="nil"/>
              <w:tr2bl w:val="nil"/>
            </w:tcBorders>
            <w:shd w:val="clear" w:color="auto" w:fill="auto"/>
            <w:vAlign w:val="center"/>
          </w:tcPr>
          <w:p w14:paraId="0856789E">
            <w:pPr>
              <w:keepNext w:val="0"/>
              <w:keepLines w:val="0"/>
              <w:widowControl/>
              <w:suppressLineNumbers w:val="0"/>
              <w:spacing w:before="0" w:beforeAutospacing="0" w:after="0" w:afterAutospacing="0" w:line="360" w:lineRule="atLeast"/>
              <w:ind w:left="0" w:right="0"/>
              <w:jc w:val="center"/>
              <w:rPr>
                <w:color w:val="000000"/>
                <w:sz w:val="24"/>
                <w:szCs w:val="24"/>
                <w:highlight w:val="none"/>
              </w:rPr>
            </w:pPr>
            <w:r>
              <w:rPr>
                <w:rFonts w:ascii="宋体" w:hAnsi="宋体" w:eastAsia="宋体" w:cs="宋体"/>
                <w:color w:val="000000"/>
                <w:kern w:val="0"/>
                <w:sz w:val="24"/>
                <w:szCs w:val="24"/>
                <w:highlight w:val="none"/>
                <w:lang w:val="en-US" w:eastAsia="zh-CN" w:bidi="ar"/>
              </w:rPr>
              <w:t>设备形式</w:t>
            </w:r>
          </w:p>
        </w:tc>
        <w:tc>
          <w:tcPr>
            <w:tcW w:w="6536" w:type="dxa"/>
            <w:tcBorders>
              <w:tl2br w:val="nil"/>
              <w:tr2bl w:val="nil"/>
            </w:tcBorders>
            <w:shd w:val="clear" w:color="auto" w:fill="auto"/>
            <w:vAlign w:val="center"/>
          </w:tcPr>
          <w:p w14:paraId="1025995C">
            <w:pPr>
              <w:keepNext w:val="0"/>
              <w:keepLines w:val="0"/>
              <w:widowControl/>
              <w:suppressLineNumbers w:val="0"/>
              <w:spacing w:before="0" w:beforeAutospacing="0" w:after="0" w:afterAutospacing="0" w:line="360" w:lineRule="atLeast"/>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模块化可拆</w:t>
            </w:r>
          </w:p>
        </w:tc>
      </w:tr>
    </w:tbl>
    <w:p w14:paraId="19DEA19F">
      <w:pPr>
        <w:spacing w:before="300" w:after="120" w:line="288" w:lineRule="auto"/>
        <w:ind w:left="0"/>
        <w:jc w:val="left"/>
        <w:outlineLvl w:val="2"/>
        <w:rPr>
          <w:highlight w:val="none"/>
        </w:rPr>
      </w:pPr>
      <w:bookmarkStart w:id="2" w:name="heading_3"/>
      <w:r>
        <w:rPr>
          <w:rFonts w:hint="eastAsia" w:ascii="Arial" w:hAnsi="Arial" w:eastAsia="等线" w:cs="Arial"/>
          <w:b/>
          <w:sz w:val="30"/>
          <w:highlight w:val="none"/>
          <w:lang w:val="en-US" w:eastAsia="zh-CN"/>
        </w:rPr>
        <w:t>2</w:t>
      </w:r>
      <w:r>
        <w:rPr>
          <w:rFonts w:ascii="Arial" w:hAnsi="Arial" w:eastAsia="等线" w:cs="Arial"/>
          <w:b/>
          <w:sz w:val="30"/>
          <w:highlight w:val="none"/>
        </w:rPr>
        <w:t>.</w:t>
      </w:r>
      <w:r>
        <w:rPr>
          <w:rFonts w:hint="eastAsia" w:ascii="Arial" w:hAnsi="Arial" w:eastAsia="等线" w:cs="Arial"/>
          <w:b/>
          <w:sz w:val="30"/>
          <w:highlight w:val="none"/>
          <w:lang w:val="en-US" w:eastAsia="zh-CN"/>
        </w:rPr>
        <w:t>2</w:t>
      </w:r>
      <w:r>
        <w:rPr>
          <w:rFonts w:ascii="Arial" w:hAnsi="Arial" w:eastAsia="等线" w:cs="Arial"/>
          <w:b/>
          <w:sz w:val="30"/>
          <w:highlight w:val="none"/>
        </w:rPr>
        <w:t xml:space="preserve"> 通用质量标准</w:t>
      </w:r>
      <w:bookmarkEnd w:id="2"/>
    </w:p>
    <w:p w14:paraId="18872809">
      <w:pPr>
        <w:spacing w:before="120" w:after="120" w:line="288" w:lineRule="auto"/>
        <w:ind w:left="0"/>
        <w:jc w:val="left"/>
        <w:rPr>
          <w:highlight w:val="none"/>
        </w:rPr>
      </w:pPr>
      <w:r>
        <w:rPr>
          <w:rFonts w:hint="eastAsia" w:ascii="Arial" w:hAnsi="Arial" w:eastAsia="等线" w:cs="Arial"/>
          <w:sz w:val="22"/>
          <w:highlight w:val="none"/>
          <w:lang w:val="en-US" w:eastAsia="zh-CN"/>
        </w:rPr>
        <w:t>2</w:t>
      </w:r>
      <w:r>
        <w:rPr>
          <w:rFonts w:ascii="Arial" w:hAnsi="Arial" w:eastAsia="等线" w:cs="Arial"/>
          <w:sz w:val="22"/>
          <w:highlight w:val="none"/>
        </w:rPr>
        <w:t>.</w:t>
      </w:r>
      <w:r>
        <w:rPr>
          <w:rFonts w:hint="eastAsia" w:ascii="Arial" w:hAnsi="Arial" w:eastAsia="等线" w:cs="Arial"/>
          <w:sz w:val="22"/>
          <w:highlight w:val="none"/>
          <w:lang w:val="en-US" w:eastAsia="zh-CN"/>
        </w:rPr>
        <w:t>2</w:t>
      </w:r>
      <w:r>
        <w:rPr>
          <w:rFonts w:ascii="Arial" w:hAnsi="Arial" w:eastAsia="等线" w:cs="Arial"/>
          <w:sz w:val="22"/>
          <w:highlight w:val="none"/>
        </w:rPr>
        <w:t xml:space="preserve">.1 </w:t>
      </w:r>
      <w:r>
        <w:rPr>
          <w:rFonts w:hint="eastAsia" w:ascii="Arial" w:hAnsi="Arial" w:eastAsia="等线" w:cs="Arial"/>
          <w:sz w:val="22"/>
          <w:highlight w:val="none"/>
          <w:lang w:val="en-US" w:eastAsia="zh-CN"/>
        </w:rPr>
        <w:t>乙方所供货物必须符合包括但不限于</w:t>
      </w:r>
      <w:r>
        <w:rPr>
          <w:rFonts w:ascii="Arial" w:hAnsi="Arial" w:eastAsia="等线" w:cs="Arial"/>
          <w:sz w:val="22"/>
          <w:highlight w:val="none"/>
        </w:rPr>
        <w:t>国家标准（强制性或推荐性标准）、行业标准、地方标准、生产企业标准。</w:t>
      </w:r>
    </w:p>
    <w:p w14:paraId="534A274F">
      <w:pPr>
        <w:spacing w:before="120" w:after="120" w:line="288" w:lineRule="auto"/>
        <w:ind w:left="0"/>
        <w:jc w:val="left"/>
        <w:rPr>
          <w:highlight w:val="none"/>
        </w:rPr>
      </w:pPr>
      <w:r>
        <w:rPr>
          <w:rFonts w:hint="eastAsia" w:ascii="Arial" w:hAnsi="Arial" w:eastAsia="等线" w:cs="Arial"/>
          <w:sz w:val="22"/>
          <w:highlight w:val="none"/>
          <w:lang w:val="en-US" w:eastAsia="zh-CN"/>
        </w:rPr>
        <w:t>2</w:t>
      </w:r>
      <w:r>
        <w:rPr>
          <w:rFonts w:ascii="Arial" w:hAnsi="Arial" w:eastAsia="等线" w:cs="Arial"/>
          <w:sz w:val="22"/>
          <w:highlight w:val="none"/>
        </w:rPr>
        <w:t>.</w:t>
      </w:r>
      <w:r>
        <w:rPr>
          <w:rFonts w:hint="eastAsia" w:ascii="Arial" w:hAnsi="Arial" w:eastAsia="等线" w:cs="Arial"/>
          <w:sz w:val="22"/>
          <w:highlight w:val="none"/>
          <w:lang w:val="en-US" w:eastAsia="zh-CN"/>
        </w:rPr>
        <w:t>2</w:t>
      </w:r>
      <w:r>
        <w:rPr>
          <w:rFonts w:ascii="Arial" w:hAnsi="Arial" w:eastAsia="等线" w:cs="Arial"/>
          <w:sz w:val="22"/>
          <w:highlight w:val="none"/>
        </w:rPr>
        <w:t>.2 乙方所提供</w:t>
      </w:r>
      <w:r>
        <w:rPr>
          <w:rFonts w:hint="eastAsia" w:ascii="Arial" w:hAnsi="Arial" w:eastAsia="等线" w:cs="Arial"/>
          <w:sz w:val="22"/>
          <w:highlight w:val="none"/>
          <w:lang w:val="en-US" w:eastAsia="zh-CN"/>
        </w:rPr>
        <w:t>货物</w:t>
      </w:r>
      <w:r>
        <w:rPr>
          <w:rFonts w:ascii="Arial" w:hAnsi="Arial" w:eastAsia="等线" w:cs="Arial"/>
          <w:sz w:val="22"/>
          <w:highlight w:val="none"/>
        </w:rPr>
        <w:t>的产品说明书、出厂检测报告、合格证书等技术资料标准。</w:t>
      </w:r>
    </w:p>
    <w:p w14:paraId="34547A61">
      <w:pPr>
        <w:spacing w:before="120" w:after="120" w:line="288" w:lineRule="auto"/>
        <w:ind w:left="0"/>
        <w:jc w:val="left"/>
        <w:rPr>
          <w:highlight w:val="none"/>
        </w:rPr>
      </w:pPr>
      <w:r>
        <w:rPr>
          <w:rFonts w:hint="eastAsia" w:ascii="Arial" w:hAnsi="Arial" w:eastAsia="等线" w:cs="Arial"/>
          <w:sz w:val="22"/>
          <w:highlight w:val="none"/>
          <w:lang w:val="en-US" w:eastAsia="zh-CN"/>
        </w:rPr>
        <w:t>2</w:t>
      </w:r>
      <w:r>
        <w:rPr>
          <w:rFonts w:ascii="Arial" w:hAnsi="Arial" w:eastAsia="等线" w:cs="Arial"/>
          <w:sz w:val="22"/>
          <w:highlight w:val="none"/>
        </w:rPr>
        <w:t>.</w:t>
      </w:r>
      <w:r>
        <w:rPr>
          <w:rFonts w:hint="eastAsia" w:ascii="Arial" w:hAnsi="Arial" w:eastAsia="等线" w:cs="Arial"/>
          <w:sz w:val="22"/>
          <w:highlight w:val="none"/>
          <w:lang w:val="en-US" w:eastAsia="zh-CN"/>
        </w:rPr>
        <w:t>2</w:t>
      </w:r>
      <w:r>
        <w:rPr>
          <w:rFonts w:ascii="Arial" w:hAnsi="Arial" w:eastAsia="等线" w:cs="Arial"/>
          <w:sz w:val="22"/>
          <w:highlight w:val="none"/>
        </w:rPr>
        <w:t>.3 前述标准与本合同约定技术参数如有不一致的，按</w:t>
      </w:r>
      <w:r>
        <w:rPr>
          <w:rFonts w:ascii="Arial" w:hAnsi="Arial" w:eastAsia="等线" w:cs="Arial"/>
          <w:b/>
          <w:sz w:val="22"/>
          <w:highlight w:val="none"/>
        </w:rPr>
        <w:t>最高、最严格标准</w:t>
      </w:r>
      <w:r>
        <w:rPr>
          <w:rFonts w:ascii="Arial" w:hAnsi="Arial" w:eastAsia="等线" w:cs="Arial"/>
          <w:sz w:val="22"/>
          <w:highlight w:val="none"/>
        </w:rPr>
        <w:t>执行。</w:t>
      </w:r>
    </w:p>
    <w:p w14:paraId="68C18831">
      <w:pPr>
        <w:spacing w:before="320" w:after="120" w:line="288" w:lineRule="auto"/>
        <w:ind w:left="0"/>
        <w:jc w:val="left"/>
        <w:outlineLvl w:val="1"/>
        <w:rPr>
          <w:highlight w:val="none"/>
        </w:rPr>
      </w:pPr>
      <w:bookmarkStart w:id="3" w:name="heading_4"/>
      <w:r>
        <w:rPr>
          <w:rFonts w:ascii="Arial" w:hAnsi="Arial" w:eastAsia="等线" w:cs="Arial"/>
          <w:b/>
          <w:sz w:val="32"/>
          <w:highlight w:val="none"/>
        </w:rPr>
        <w:t>第</w:t>
      </w:r>
      <w:r>
        <w:rPr>
          <w:rFonts w:hint="eastAsia" w:ascii="Arial" w:hAnsi="Arial" w:eastAsia="等线" w:cs="Arial"/>
          <w:b/>
          <w:sz w:val="32"/>
          <w:highlight w:val="none"/>
          <w:lang w:val="en-US" w:eastAsia="zh-CN"/>
        </w:rPr>
        <w:t>三</w:t>
      </w:r>
      <w:r>
        <w:rPr>
          <w:rFonts w:ascii="Arial" w:hAnsi="Arial" w:eastAsia="等线" w:cs="Arial"/>
          <w:b/>
          <w:sz w:val="32"/>
          <w:highlight w:val="none"/>
        </w:rPr>
        <w:t>条 数量和计量单位、计量方法</w:t>
      </w:r>
      <w:bookmarkEnd w:id="3"/>
    </w:p>
    <w:p w14:paraId="5D565411">
      <w:pPr>
        <w:spacing w:before="120" w:after="120" w:line="288" w:lineRule="auto"/>
        <w:ind w:left="0"/>
        <w:jc w:val="left"/>
        <w:rPr>
          <w:highlight w:val="none"/>
        </w:rPr>
      </w:pPr>
      <w:r>
        <w:rPr>
          <w:rFonts w:hint="eastAsia" w:ascii="Arial" w:hAnsi="Arial" w:eastAsia="等线" w:cs="Arial"/>
          <w:sz w:val="22"/>
          <w:highlight w:val="none"/>
          <w:lang w:val="en-US" w:eastAsia="zh-CN"/>
        </w:rPr>
        <w:t>3</w:t>
      </w:r>
      <w:r>
        <w:rPr>
          <w:rFonts w:ascii="Arial" w:hAnsi="Arial" w:eastAsia="等线" w:cs="Arial"/>
          <w:sz w:val="22"/>
          <w:highlight w:val="none"/>
        </w:rPr>
        <w:t>.</w:t>
      </w:r>
      <w:r>
        <w:rPr>
          <w:rFonts w:hint="eastAsia" w:ascii="Arial" w:hAnsi="Arial" w:eastAsia="等线" w:cs="Arial"/>
          <w:sz w:val="22"/>
          <w:highlight w:val="none"/>
          <w:lang w:val="en-US" w:eastAsia="zh-CN"/>
        </w:rPr>
        <w:t>1</w:t>
      </w:r>
      <w:r>
        <w:rPr>
          <w:rFonts w:ascii="Arial" w:hAnsi="Arial" w:eastAsia="等线" w:cs="Arial"/>
          <w:sz w:val="22"/>
          <w:highlight w:val="none"/>
        </w:rPr>
        <w:t xml:space="preserve"> 计量单位和方法：以现场点数、设备整套核验计量为准。</w:t>
      </w:r>
    </w:p>
    <w:p w14:paraId="390A9697">
      <w:pPr>
        <w:spacing w:before="120" w:after="120" w:line="288" w:lineRule="auto"/>
        <w:ind w:left="0"/>
        <w:jc w:val="left"/>
        <w:rPr>
          <w:highlight w:val="none"/>
        </w:rPr>
      </w:pPr>
      <w:r>
        <w:rPr>
          <w:rFonts w:hint="eastAsia" w:ascii="Arial" w:hAnsi="Arial" w:eastAsia="等线" w:cs="Arial"/>
          <w:sz w:val="22"/>
          <w:highlight w:val="none"/>
          <w:lang w:val="en-US" w:eastAsia="zh-CN"/>
        </w:rPr>
        <w:t>3</w:t>
      </w:r>
      <w:r>
        <w:rPr>
          <w:rFonts w:ascii="Arial" w:hAnsi="Arial" w:eastAsia="等线" w:cs="Arial"/>
          <w:sz w:val="22"/>
          <w:highlight w:val="none"/>
        </w:rPr>
        <w:t>.</w:t>
      </w:r>
      <w:r>
        <w:rPr>
          <w:rFonts w:hint="eastAsia" w:ascii="Arial" w:hAnsi="Arial" w:eastAsia="等线" w:cs="Arial"/>
          <w:sz w:val="22"/>
          <w:highlight w:val="none"/>
          <w:lang w:val="en-US" w:eastAsia="zh-CN"/>
        </w:rPr>
        <w:t>2</w:t>
      </w:r>
      <w:r>
        <w:rPr>
          <w:rFonts w:ascii="Arial" w:hAnsi="Arial" w:eastAsia="等线" w:cs="Arial"/>
          <w:sz w:val="22"/>
          <w:highlight w:val="none"/>
        </w:rPr>
        <w:t xml:space="preserve"> </w:t>
      </w:r>
      <w:r>
        <w:rPr>
          <w:rFonts w:ascii="Arial" w:hAnsi="Arial" w:eastAsia="等线" w:cs="Arial"/>
          <w:sz w:val="22"/>
          <w:highlight w:val="none"/>
        </w:rPr>
        <w:t>交货数量</w:t>
      </w:r>
      <w:r>
        <w:rPr>
          <w:rFonts w:ascii="Arial" w:hAnsi="Arial" w:eastAsia="等线" w:cs="Arial"/>
          <w:sz w:val="22"/>
          <w:highlight w:val="none"/>
        </w:rPr>
        <w:t>：以双方共同签认的现场验收</w:t>
      </w:r>
      <w:r>
        <w:rPr>
          <w:rFonts w:hint="eastAsia" w:ascii="Arial" w:hAnsi="Arial" w:eastAsia="等线" w:cs="Arial"/>
          <w:sz w:val="22"/>
          <w:highlight w:val="none"/>
          <w:lang w:val="en-US" w:eastAsia="zh-CN"/>
        </w:rPr>
        <w:t>设备数量</w:t>
      </w:r>
      <w:r>
        <w:rPr>
          <w:rFonts w:ascii="Arial" w:hAnsi="Arial" w:eastAsia="等线" w:cs="Arial"/>
          <w:sz w:val="22"/>
          <w:highlight w:val="none"/>
        </w:rPr>
        <w:t>为准。</w:t>
      </w:r>
    </w:p>
    <w:p w14:paraId="2824C781">
      <w:pPr>
        <w:spacing w:before="320" w:after="120" w:line="288" w:lineRule="auto"/>
        <w:ind w:left="0"/>
        <w:jc w:val="left"/>
        <w:outlineLvl w:val="1"/>
        <w:rPr>
          <w:rFonts w:hint="default" w:eastAsia="等线"/>
          <w:highlight w:val="none"/>
          <w:lang w:val="en-US" w:eastAsia="zh-CN"/>
        </w:rPr>
      </w:pPr>
      <w:bookmarkStart w:id="4" w:name="heading_5"/>
      <w:r>
        <w:rPr>
          <w:rFonts w:ascii="Arial" w:hAnsi="Arial" w:eastAsia="等线" w:cs="Arial"/>
          <w:b/>
          <w:sz w:val="32"/>
          <w:highlight w:val="none"/>
        </w:rPr>
        <w:t>第</w:t>
      </w:r>
      <w:r>
        <w:rPr>
          <w:rFonts w:hint="eastAsia" w:ascii="Arial" w:hAnsi="Arial" w:eastAsia="等线" w:cs="Arial"/>
          <w:b/>
          <w:sz w:val="32"/>
          <w:highlight w:val="none"/>
          <w:lang w:val="en-US" w:eastAsia="zh-CN"/>
        </w:rPr>
        <w:t>四</w:t>
      </w:r>
      <w:r>
        <w:rPr>
          <w:rFonts w:ascii="Arial" w:hAnsi="Arial" w:eastAsia="等线" w:cs="Arial"/>
          <w:b/>
          <w:sz w:val="32"/>
          <w:highlight w:val="none"/>
        </w:rPr>
        <w:t>条 合同供货</w:t>
      </w:r>
      <w:bookmarkEnd w:id="4"/>
      <w:r>
        <w:rPr>
          <w:rFonts w:hint="eastAsia" w:ascii="Arial" w:hAnsi="Arial" w:eastAsia="等线" w:cs="Arial"/>
          <w:b/>
          <w:sz w:val="32"/>
          <w:highlight w:val="none"/>
          <w:lang w:val="en-US" w:eastAsia="zh-CN"/>
        </w:rPr>
        <w:t>时间和地点</w:t>
      </w:r>
    </w:p>
    <w:p w14:paraId="76293A19">
      <w:pPr>
        <w:spacing w:before="120" w:after="120" w:line="288" w:lineRule="auto"/>
        <w:ind w:left="0"/>
        <w:jc w:val="left"/>
        <w:rPr>
          <w:rFonts w:hint="eastAsia" w:ascii="Arial" w:hAnsi="Arial" w:eastAsia="等线" w:cs="Arial"/>
          <w:sz w:val="22"/>
          <w:highlight w:val="none"/>
          <w:lang w:val="en-US" w:eastAsia="zh-CN"/>
        </w:rPr>
      </w:pPr>
      <w:r>
        <w:rPr>
          <w:rFonts w:hint="eastAsia" w:ascii="Arial" w:hAnsi="Arial" w:eastAsia="等线" w:cs="Arial"/>
          <w:sz w:val="22"/>
          <w:highlight w:val="none"/>
          <w:lang w:val="en-US" w:eastAsia="zh-CN"/>
        </w:rPr>
        <w:t>4.1乙方于签订本合同前已实地踏勘现场，完全知悉项目现场情况、场地尺寸、配套管线、基础条件等全部现状，无需甲方另行组织现场勘测。乙方应于本合同生效之日起【3】日历天内，完成本合同项下深化设计并完整报送甲方审批。乙方所有深化设计方案、设备配置清单须完整报送甲方审核，经甲方书面同意后方可开展后续进场、供货、安装等一切工作，未经甲方确认不得擅自开展任何工作，否则产生的损失由乙方自行承担。</w:t>
      </w:r>
    </w:p>
    <w:p w14:paraId="5BD0C797">
      <w:pPr>
        <w:spacing w:before="120" w:line="288" w:lineRule="auto"/>
        <w:ind w:left="0"/>
        <w:jc w:val="left"/>
        <w:rPr>
          <w:rFonts w:hint="eastAsia" w:ascii="Arial" w:hAnsi="Arial" w:eastAsia="等线" w:cs="Arial"/>
          <w:sz w:val="22"/>
          <w:highlight w:val="none"/>
          <w:lang w:val="en-US" w:eastAsia="zh-CN"/>
        </w:rPr>
      </w:pPr>
      <w:r>
        <w:rPr>
          <w:rFonts w:hint="eastAsia" w:ascii="Arial" w:hAnsi="Arial" w:eastAsia="等线" w:cs="Arial"/>
          <w:sz w:val="22"/>
          <w:highlight w:val="none"/>
          <w:lang w:val="en-US" w:eastAsia="zh-CN"/>
        </w:rPr>
        <w:t>4.2</w:t>
      </w:r>
      <w:r>
        <w:rPr>
          <w:rFonts w:hint="eastAsia" w:ascii="Arial" w:hAnsi="Arial" w:eastAsia="等线" w:cs="Arial"/>
          <w:sz w:val="22"/>
          <w:szCs w:val="22"/>
          <w:highlight w:val="none"/>
          <w:lang w:val="en-US" w:eastAsia="zh-CN"/>
        </w:rPr>
        <w:t>乙方提交的深化设计资料须包含但不限于：设备配置明细、设备安装方案等。</w:t>
      </w:r>
    </w:p>
    <w:p w14:paraId="5E2D24CD">
      <w:pPr>
        <w:spacing w:before="120" w:after="120" w:line="288" w:lineRule="auto"/>
        <w:ind w:left="0"/>
        <w:jc w:val="left"/>
        <w:rPr>
          <w:rFonts w:ascii="Arial" w:hAnsi="Arial" w:eastAsia="等线" w:cs="Arial"/>
          <w:sz w:val="22"/>
          <w:highlight w:val="none"/>
        </w:rPr>
      </w:pPr>
      <w:r>
        <w:rPr>
          <w:rFonts w:hint="eastAsia" w:ascii="Arial" w:hAnsi="Arial" w:eastAsia="等线" w:cs="Arial"/>
          <w:sz w:val="22"/>
          <w:highlight w:val="none"/>
          <w:lang w:val="en-US" w:eastAsia="zh-CN"/>
        </w:rPr>
        <w:t>4.3自甲方审批通过深化设计并发出供货通知之日起</w:t>
      </w:r>
      <w:r>
        <w:rPr>
          <w:rFonts w:hint="eastAsia" w:ascii="Arial" w:hAnsi="Arial" w:eastAsia="等线" w:cs="Arial"/>
          <w:sz w:val="22"/>
          <w:highlight w:val="none"/>
          <w:lang w:val="en-US" w:eastAsia="zh-CN"/>
        </w:rPr>
        <w:t>【25】</w:t>
      </w:r>
      <w:r>
        <w:rPr>
          <w:rFonts w:hint="eastAsia" w:ascii="Arial" w:hAnsi="Arial" w:eastAsia="等线" w:cs="Arial"/>
          <w:sz w:val="22"/>
          <w:highlight w:val="none"/>
          <w:lang w:val="en-US" w:eastAsia="zh-CN"/>
        </w:rPr>
        <w:t>个日历天内，乙方须</w:t>
      </w:r>
      <w:r>
        <w:rPr>
          <w:rFonts w:ascii="Arial" w:hAnsi="Arial" w:eastAsia="等线" w:cs="Arial"/>
          <w:sz w:val="22"/>
          <w:highlight w:val="none"/>
        </w:rPr>
        <w:t>完成本项目</w:t>
      </w:r>
      <w:r>
        <w:rPr>
          <w:rFonts w:hint="eastAsia" w:ascii="Arial" w:hAnsi="Arial" w:eastAsia="等线" w:cs="Arial"/>
          <w:sz w:val="22"/>
          <w:highlight w:val="none"/>
          <w:lang w:val="en-US" w:eastAsia="zh-CN"/>
        </w:rPr>
        <w:t>下所有货物的生产、运输、安装</w:t>
      </w:r>
      <w:r>
        <w:rPr>
          <w:rFonts w:ascii="Arial" w:hAnsi="Arial" w:eastAsia="等线" w:cs="Arial"/>
          <w:sz w:val="22"/>
          <w:highlight w:val="none"/>
        </w:rPr>
        <w:t>。</w:t>
      </w:r>
    </w:p>
    <w:p w14:paraId="63E41CB5">
      <w:pPr>
        <w:spacing w:before="120" w:line="288" w:lineRule="auto"/>
        <w:ind w:left="0"/>
        <w:jc w:val="left"/>
        <w:rPr>
          <w:rFonts w:hint="eastAsia" w:ascii="Arial" w:hAnsi="Arial" w:eastAsia="等线" w:cs="Arial"/>
          <w:sz w:val="22"/>
          <w:highlight w:val="none"/>
          <w:lang w:val="en-US" w:eastAsia="zh-CN"/>
        </w:rPr>
      </w:pPr>
      <w:r>
        <w:rPr>
          <w:rFonts w:hint="eastAsia" w:ascii="Arial" w:hAnsi="Arial" w:eastAsia="等线" w:cs="Arial"/>
          <w:sz w:val="22"/>
          <w:highlight w:val="none"/>
          <w:lang w:val="en-US" w:eastAsia="zh-CN"/>
        </w:rPr>
        <w:t>4.4货物安装地点：广东省佛山市顺德区容桂街道，具体以甲方确认为准。</w:t>
      </w:r>
    </w:p>
    <w:p w14:paraId="2FD6DCDC">
      <w:pPr>
        <w:spacing w:before="320" w:after="120" w:line="288" w:lineRule="auto"/>
        <w:ind w:left="0"/>
        <w:jc w:val="left"/>
        <w:outlineLvl w:val="1"/>
        <w:rPr>
          <w:rFonts w:hint="default" w:eastAsia="等线"/>
          <w:highlight w:val="none"/>
          <w:lang w:val="en-US" w:eastAsia="zh-CN"/>
        </w:rPr>
      </w:pPr>
      <w:bookmarkStart w:id="5" w:name="heading_6"/>
      <w:r>
        <w:rPr>
          <w:rFonts w:ascii="Arial" w:hAnsi="Arial" w:eastAsia="等线" w:cs="Arial"/>
          <w:b/>
          <w:sz w:val="32"/>
          <w:highlight w:val="none"/>
        </w:rPr>
        <w:t>第</w:t>
      </w:r>
      <w:r>
        <w:rPr>
          <w:rFonts w:hint="eastAsia" w:ascii="Arial" w:hAnsi="Arial" w:eastAsia="等线" w:cs="Arial"/>
          <w:b/>
          <w:sz w:val="32"/>
          <w:highlight w:val="none"/>
          <w:lang w:val="en-US" w:eastAsia="zh-CN"/>
        </w:rPr>
        <w:t>五</w:t>
      </w:r>
      <w:r>
        <w:rPr>
          <w:rFonts w:ascii="Arial" w:hAnsi="Arial" w:eastAsia="等线" w:cs="Arial"/>
          <w:b/>
          <w:sz w:val="32"/>
          <w:highlight w:val="none"/>
        </w:rPr>
        <w:t xml:space="preserve">条 </w:t>
      </w:r>
      <w:r>
        <w:rPr>
          <w:rFonts w:hint="eastAsia" w:ascii="Arial" w:hAnsi="Arial" w:eastAsia="等线" w:cs="Arial"/>
          <w:b/>
          <w:sz w:val="32"/>
          <w:highlight w:val="none"/>
          <w:lang w:val="en-US" w:eastAsia="zh-CN"/>
        </w:rPr>
        <w:t>包装、</w:t>
      </w:r>
      <w:r>
        <w:rPr>
          <w:rFonts w:ascii="Arial" w:hAnsi="Arial" w:eastAsia="等线" w:cs="Arial"/>
          <w:b/>
          <w:sz w:val="32"/>
          <w:highlight w:val="none"/>
        </w:rPr>
        <w:t>运输</w:t>
      </w:r>
      <w:r>
        <w:rPr>
          <w:rFonts w:hint="eastAsia" w:ascii="Arial" w:hAnsi="Arial" w:eastAsia="等线" w:cs="Arial"/>
          <w:b/>
          <w:sz w:val="32"/>
          <w:highlight w:val="none"/>
          <w:lang w:val="en-US" w:eastAsia="zh-CN"/>
        </w:rPr>
        <w:t>及保管</w:t>
      </w:r>
      <w:bookmarkEnd w:id="5"/>
    </w:p>
    <w:p w14:paraId="6F7AC072">
      <w:pPr>
        <w:pStyle w:val="2"/>
        <w:ind w:left="0" w:leftChars="0"/>
        <w:rPr>
          <w:rFonts w:hint="eastAsia" w:ascii="Arial" w:hAnsi="Arial" w:eastAsia="等线" w:cs="Arial"/>
          <w:sz w:val="22"/>
          <w:highlight w:val="none"/>
        </w:rPr>
      </w:pPr>
      <w:r>
        <w:rPr>
          <w:rFonts w:hint="eastAsia" w:ascii="Arial" w:hAnsi="Arial" w:eastAsia="等线" w:cs="Arial"/>
          <w:sz w:val="22"/>
          <w:highlight w:val="none"/>
        </w:rPr>
        <w:t>5.1 本合同设备采用汽车运输方式，设备全程装卸、运输作业均由乙方全权负责，运输车辆、装卸人工、配套机械及由此产生的所有费用，均由乙方全额承担。</w:t>
      </w:r>
    </w:p>
    <w:p w14:paraId="026959FB">
      <w:pPr>
        <w:pStyle w:val="2"/>
        <w:ind w:left="0" w:leftChars="0"/>
        <w:rPr>
          <w:rFonts w:hint="eastAsia" w:ascii="Arial" w:hAnsi="Arial" w:eastAsia="等线" w:cs="Arial"/>
          <w:sz w:val="22"/>
          <w:highlight w:val="none"/>
        </w:rPr>
      </w:pPr>
      <w:r>
        <w:rPr>
          <w:rFonts w:hint="eastAsia" w:ascii="Arial" w:hAnsi="Arial" w:eastAsia="等线" w:cs="Arial"/>
          <w:sz w:val="22"/>
          <w:highlight w:val="none"/>
        </w:rPr>
        <w:t>5.2 设备包装须适配汽车运输工况，严格符合国家及行业现行标准与规范，包装结构具备足够承载强度。设备须采取可靠的防湿、防潮、防雨、防锈、防腐、防碰撞保护措施，外包装张贴清晰规范的安全起吊标识，保证设备可适应多次搬运、转运及安装作业，确保设备完好无损、安全送达合同指定交货地点。</w:t>
      </w:r>
    </w:p>
    <w:p w14:paraId="217DE367">
      <w:pPr>
        <w:pStyle w:val="2"/>
        <w:ind w:left="0" w:leftChars="0"/>
        <w:rPr>
          <w:rFonts w:hint="eastAsia" w:ascii="Arial" w:hAnsi="Arial" w:eastAsia="等线" w:cs="Arial"/>
          <w:sz w:val="22"/>
          <w:highlight w:val="none"/>
        </w:rPr>
      </w:pPr>
      <w:r>
        <w:rPr>
          <w:rFonts w:hint="eastAsia" w:ascii="Arial" w:hAnsi="Arial" w:eastAsia="等线" w:cs="Arial"/>
          <w:sz w:val="22"/>
          <w:highlight w:val="none"/>
        </w:rPr>
        <w:t>5.3 设备包装方案、包装材料及所有包装费用、运输包装风险均由乙方全权负责承担。因乙方包装设计不合理、防护措施不到位等原因，造成设备在运输途中发生磕碰、受潮、锈蚀、变形、破损等任何质量问题及损坏的，全部损失及责任均由乙方承担，乙方须在合同约定期限内对损坏设备免费完成维修或更换。</w:t>
      </w:r>
    </w:p>
    <w:p w14:paraId="584F7915">
      <w:pPr>
        <w:pStyle w:val="2"/>
        <w:ind w:left="0" w:leftChars="0"/>
        <w:rPr>
          <w:rFonts w:hint="eastAsia" w:ascii="Arial" w:hAnsi="Arial" w:eastAsia="等线" w:cs="Arial"/>
          <w:sz w:val="22"/>
          <w:highlight w:val="none"/>
        </w:rPr>
      </w:pPr>
      <w:r>
        <w:rPr>
          <w:rFonts w:hint="eastAsia" w:ascii="Arial" w:hAnsi="Arial" w:eastAsia="等线" w:cs="Arial"/>
          <w:sz w:val="22"/>
          <w:highlight w:val="none"/>
        </w:rPr>
        <w:t>5.4 设备配套的专用工具、备品备件须单独分类独立包装，各包装箱外侧须清晰、醒目标注箱内物品的品名、规格、数量及用途，便于甲方清点核对、入库保管及验收使用。</w:t>
      </w:r>
    </w:p>
    <w:p w14:paraId="487707E7">
      <w:pPr>
        <w:pStyle w:val="2"/>
        <w:ind w:left="0" w:leftChars="0"/>
        <w:rPr>
          <w:rFonts w:hint="eastAsia" w:ascii="Arial" w:hAnsi="Arial" w:eastAsia="等线" w:cs="Arial"/>
          <w:sz w:val="22"/>
          <w:highlight w:val="none"/>
        </w:rPr>
      </w:pPr>
      <w:r>
        <w:rPr>
          <w:rFonts w:hint="eastAsia" w:ascii="Arial" w:hAnsi="Arial" w:eastAsia="等线" w:cs="Arial"/>
          <w:sz w:val="22"/>
          <w:highlight w:val="none"/>
        </w:rPr>
        <w:t>5.5 设备运抵指定交货地点后的卸货、移位、摆放等作业，乙方须严格服从甲方或甲方指定授权代表的统一调度与安排。甲方仅负责提供设备临时存放场地，乙方须对进场合同设备采取有效的成品防护、包裹覆盖、现场围蔽等保护措施。自设备进场之日起至本项目整体验收合格并正式移交甲方为止，设备存放保管产生的全部费用、毁损灭失风险及一切安全、质量责任，均由乙方全额承担。</w:t>
      </w:r>
    </w:p>
    <w:p w14:paraId="764E2933">
      <w:pPr>
        <w:pStyle w:val="2"/>
        <w:ind w:left="0" w:leftChars="0"/>
        <w:rPr>
          <w:rFonts w:hint="eastAsia" w:ascii="Arial" w:hAnsi="Arial" w:eastAsia="等线" w:cs="Arial"/>
          <w:sz w:val="22"/>
          <w:highlight w:val="none"/>
        </w:rPr>
      </w:pPr>
      <w:r>
        <w:rPr>
          <w:rFonts w:hint="eastAsia" w:ascii="Arial" w:hAnsi="Arial" w:eastAsia="等线" w:cs="Arial"/>
          <w:sz w:val="22"/>
          <w:highlight w:val="none"/>
        </w:rPr>
        <w:t>5.6 未经甲方同意，乙方不得擅自将已进场的合同设备、零部件、备品备件及相关配套物资运离项目交货场地。</w:t>
      </w:r>
    </w:p>
    <w:p w14:paraId="679F8ABA">
      <w:pPr>
        <w:pStyle w:val="2"/>
        <w:ind w:left="0" w:leftChars="0"/>
        <w:rPr>
          <w:rFonts w:hint="eastAsia" w:ascii="Arial" w:hAnsi="Arial" w:eastAsia="等线" w:cs="Arial"/>
          <w:sz w:val="22"/>
          <w:highlight w:val="none"/>
        </w:rPr>
      </w:pPr>
      <w:r>
        <w:rPr>
          <w:rFonts w:hint="eastAsia" w:ascii="Arial" w:hAnsi="Arial" w:eastAsia="等线" w:cs="Arial"/>
          <w:sz w:val="22"/>
          <w:highlight w:val="none"/>
        </w:rPr>
        <w:t>5.7 保险：自设备出厂直至设备验收合格并正式交付甲方前，设备全程货物运输保险、施工现场安保防护所需的全部费用，均由乙方全额承担并自行投保。</w:t>
      </w:r>
    </w:p>
    <w:p w14:paraId="08FF7B9A">
      <w:pPr>
        <w:spacing w:before="320" w:after="120" w:line="288" w:lineRule="auto"/>
        <w:ind w:left="0"/>
        <w:jc w:val="left"/>
        <w:outlineLvl w:val="1"/>
        <w:rPr>
          <w:rFonts w:ascii="Arial" w:hAnsi="Arial" w:eastAsia="等线" w:cs="Arial"/>
          <w:b/>
          <w:sz w:val="32"/>
          <w:highlight w:val="none"/>
        </w:rPr>
      </w:pPr>
      <w:r>
        <w:rPr>
          <w:rFonts w:hint="eastAsia" w:ascii="Arial" w:hAnsi="Arial" w:eastAsia="等线" w:cs="Arial"/>
          <w:sz w:val="22"/>
          <w:highlight w:val="none"/>
        </w:rPr>
        <w:t>5.8 货物附随单证交付：乙方在设备到货交货时，须随车同步提交全套完整的商务及技术资料，包含但不限于产品保修单、增值税发票、质量保证书、原产地证明书、设备操作及维修说明书、出厂检测报告、产品合格证、送货单、结算单等全部配套单证与技术文件。</w:t>
      </w:r>
      <w:bookmarkStart w:id="6" w:name="heading_7"/>
      <w:r>
        <w:rPr>
          <w:rFonts w:ascii="Arial" w:hAnsi="Arial" w:eastAsia="等线" w:cs="Arial"/>
          <w:b/>
          <w:sz w:val="32"/>
          <w:highlight w:val="none"/>
        </w:rPr>
        <w:t xml:space="preserve"> </w:t>
      </w:r>
    </w:p>
    <w:p w14:paraId="0FB83754">
      <w:pPr>
        <w:spacing w:before="320" w:after="120" w:line="288" w:lineRule="auto"/>
        <w:ind w:left="0"/>
        <w:jc w:val="left"/>
        <w:outlineLvl w:val="1"/>
        <w:rPr>
          <w:rFonts w:hint="eastAsia" w:ascii="Arial" w:hAnsi="Arial" w:eastAsia="等线" w:cs="Arial"/>
          <w:b/>
          <w:sz w:val="32"/>
          <w:highlight w:val="none"/>
          <w:lang w:val="en-US" w:eastAsia="zh-CN"/>
        </w:rPr>
      </w:pPr>
      <w:r>
        <w:rPr>
          <w:rFonts w:hint="eastAsia" w:ascii="Arial" w:hAnsi="Arial" w:eastAsia="等线" w:cs="Arial"/>
          <w:b/>
          <w:sz w:val="32"/>
          <w:highlight w:val="none"/>
          <w:lang w:val="en-US" w:eastAsia="zh-CN"/>
        </w:rPr>
        <w:t>第六条 安装、调试及试运行</w:t>
      </w:r>
    </w:p>
    <w:p w14:paraId="29E274C4">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6.1 本项目所有设备均在甲方指定地点完成收货及安装作业。乙方须严格按照甲方审定通过的深化设计方案组织现场安装作业及相关工作，全面落实现场安全管理、保卫防护及防火阻燃等安全管控措施，严格执行文明作业、安全作业标准。因乙方操作不规范、管理疏漏、作业不当引发的各类安全隐患、安全事故，产生的全部事故责任、整改费用及经济损失均由乙方承担；项目开展期间，凡因设备安装作业直接或间接导致的人身伤亡、财产损毁、设施损坏及行政罚款等一切后果，均由乙方承担全部经济损失及法律责任，并足额赔偿甲方因此遭受的全部损失。</w:t>
      </w:r>
    </w:p>
    <w:p w14:paraId="303172C0">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6.2 乙方开展设备安装作业期间，须对现场既有的其他设备、构筑物、配套设施采取可靠、有效的成品保护措施，严禁出现磕碰、损坏、污染、移位等问题。若因乙方作业原因造成现场原有设备、设施损毁或损坏的，由乙方承担全部修复、赔偿责任。</w:t>
      </w:r>
    </w:p>
    <w:p w14:paraId="205D4AFB">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6.3 乙方负责本合同项下全部设备的现场安装、调试、整改、优化及试运行配合等全部工作，前述工作所产生的人工、辅材、机具、检测、调试、整改等所有费用，均已包含在合同总价内，甲方无需另行支付任何费用。</w:t>
      </w:r>
    </w:p>
    <w:p w14:paraId="3E4BAB81">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6.4 乙方须规范完成设备安装、接线调试及系统优化工作，确保设备及整体系统运行稳定、工况优良，完全符合本合同约定、深化设计要求及国家、行业现行标准，达到正常合格使用状态。</w:t>
      </w:r>
    </w:p>
    <w:p w14:paraId="676B9140">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6.5 设备安装调试全部完成、系统满足通电运行及整体测试条件后，正式启动设备试运行工作。试运行全过程，乙方须安排专业技术人员全程在岗值守、跟进配合、实时监测。试运行期间若设备及系统出现故障、异常问题，乙方须第一时间完成故障排查、修复、调试整改，并详实记录故障现象、排查过程、整改措施、修复结果，所有记录作为设备性能核验、项目验收的核心原始资料。</w:t>
      </w:r>
    </w:p>
    <w:p w14:paraId="592D16D6">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6.6 正式试运行启动前，乙方须独立完成系统连续空载、负载试验，自检确认系统运行正常后，在乙方专业技术人员全程指导、配合下，由甲方开展为期</w:t>
      </w:r>
      <w:r>
        <w:rPr>
          <w:rFonts w:hint="eastAsia" w:ascii="Arial" w:hAnsi="Arial" w:eastAsia="等线" w:cs="Arial"/>
          <w:sz w:val="22"/>
          <w:highlight w:val="none"/>
          <w:lang w:val="en-US" w:eastAsia="zh-CN"/>
        </w:rPr>
        <w:t>连续15日</w:t>
      </w:r>
      <w:r>
        <w:rPr>
          <w:rFonts w:hint="default" w:ascii="Arial" w:hAnsi="Arial" w:eastAsia="等线" w:cs="Arial"/>
          <w:sz w:val="22"/>
          <w:highlight w:val="none"/>
          <w:lang w:val="en-US" w:eastAsia="zh-CN"/>
        </w:rPr>
        <w:t>的整体</w:t>
      </w:r>
      <w:r>
        <w:rPr>
          <w:rFonts w:hint="eastAsia" w:ascii="Arial" w:hAnsi="Arial" w:eastAsia="等线" w:cs="Arial"/>
          <w:sz w:val="22"/>
          <w:highlight w:val="none"/>
          <w:lang w:val="en-US" w:eastAsia="zh-CN"/>
        </w:rPr>
        <w:t>设备负载</w:t>
      </w:r>
      <w:r>
        <w:rPr>
          <w:rFonts w:hint="default" w:ascii="Arial" w:hAnsi="Arial" w:eastAsia="等线" w:cs="Arial"/>
          <w:sz w:val="22"/>
          <w:highlight w:val="none"/>
          <w:lang w:val="en-US" w:eastAsia="zh-CN"/>
        </w:rPr>
        <w:t>试运行，试运行须在系统全部功能完整可用、工况正常的状态下开展。</w:t>
      </w:r>
    </w:p>
    <w:p w14:paraId="53A0ED9B">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6.7 试运行期间，针对系统运行出现的故障、缺陷、异常问题，乙方须及时完成整改、调试与优化，完整留存试运行台账、整改记录、运行数据等全套资料，作为项目最终验收的重要依据。</w:t>
      </w:r>
    </w:p>
    <w:p w14:paraId="795E5F0A">
      <w:pPr>
        <w:pStyle w:val="2"/>
        <w:ind w:left="0" w:leftChars="0"/>
        <w:rPr>
          <w:rFonts w:hint="default" w:ascii="Arial" w:hAnsi="Arial" w:eastAsia="等线" w:cs="Arial"/>
          <w:sz w:val="22"/>
          <w:highlight w:val="none"/>
          <w:lang w:val="en-US" w:eastAsia="zh-CN"/>
        </w:rPr>
      </w:pPr>
      <w:r>
        <w:rPr>
          <w:rFonts w:hint="default" w:ascii="Arial" w:hAnsi="Arial" w:eastAsia="等线" w:cs="Arial"/>
          <w:sz w:val="22"/>
          <w:highlight w:val="none"/>
          <w:lang w:val="en-US" w:eastAsia="zh-CN"/>
        </w:rPr>
        <w:t>6.8 试运行期间，整体系统未出现影响正常使用的重大问题，试运行期满后可终止试运行，正式进入验收阶段。若系统出现重大问题（含系统核心功能故障、无法满足使用及设计要求、故障无法在48小时内修复、设备运行引发安全事故等情形），试运行周期相应顺延，直至系统连续稳定运行满一个月且无重大问题。本项目试运行最长期限为</w:t>
      </w:r>
      <w:r>
        <w:rPr>
          <w:rFonts w:hint="eastAsia" w:ascii="Arial" w:hAnsi="Arial" w:eastAsia="等线" w:cs="Arial"/>
          <w:sz w:val="22"/>
          <w:highlight w:val="none"/>
          <w:lang w:val="en-US" w:eastAsia="zh-CN"/>
        </w:rPr>
        <w:t>两</w:t>
      </w:r>
      <w:r>
        <w:rPr>
          <w:rFonts w:hint="default" w:ascii="Arial" w:hAnsi="Arial" w:eastAsia="等线" w:cs="Arial"/>
          <w:sz w:val="22"/>
          <w:highlight w:val="none"/>
          <w:lang w:val="en-US" w:eastAsia="zh-CN"/>
        </w:rPr>
        <w:t>个月，若</w:t>
      </w:r>
      <w:r>
        <w:rPr>
          <w:rFonts w:hint="eastAsia" w:ascii="Arial" w:hAnsi="Arial" w:eastAsia="等线" w:cs="Arial"/>
          <w:sz w:val="22"/>
          <w:highlight w:val="none"/>
          <w:lang w:val="en-US" w:eastAsia="zh-CN"/>
        </w:rPr>
        <w:t>两</w:t>
      </w:r>
      <w:r>
        <w:rPr>
          <w:rFonts w:hint="default" w:ascii="Arial" w:hAnsi="Arial" w:eastAsia="等线" w:cs="Arial"/>
          <w:sz w:val="22"/>
          <w:highlight w:val="none"/>
          <w:lang w:val="en-US" w:eastAsia="zh-CN"/>
        </w:rPr>
        <w:t>个月内系统仍未达到合格标准、无法通过试运行考核的，甲方有权单方解除本合同，无需支付剩余合同价款，并有权向乙方追索全部经济损失及追究相应违约责任。</w:t>
      </w:r>
    </w:p>
    <w:p w14:paraId="120A3CA5">
      <w:pPr>
        <w:pStyle w:val="2"/>
        <w:ind w:left="0" w:leftChars="0"/>
        <w:rPr>
          <w:rFonts w:hint="eastAsia" w:ascii="Arial" w:hAnsi="Arial" w:eastAsia="等线" w:cs="Arial"/>
          <w:sz w:val="22"/>
          <w:highlight w:val="none"/>
          <w:lang w:val="en-US" w:eastAsia="zh-CN"/>
        </w:rPr>
      </w:pPr>
      <w:r>
        <w:rPr>
          <w:rFonts w:hint="default" w:ascii="Arial" w:hAnsi="Arial" w:eastAsia="等线" w:cs="Arial"/>
          <w:sz w:val="22"/>
          <w:highlight w:val="none"/>
          <w:lang w:val="en-US" w:eastAsia="zh-CN"/>
        </w:rPr>
        <w:t>6.9 项目试运行期间产生的设备耗材、人员值守等相关费用，均由乙方全额自行承担。</w:t>
      </w:r>
    </w:p>
    <w:p w14:paraId="76F1AFA2">
      <w:pPr>
        <w:spacing w:before="320" w:after="120" w:line="288" w:lineRule="auto"/>
        <w:ind w:left="0"/>
        <w:jc w:val="left"/>
        <w:outlineLvl w:val="1"/>
        <w:rPr>
          <w:highlight w:val="none"/>
        </w:rPr>
      </w:pPr>
      <w:r>
        <w:rPr>
          <w:rFonts w:hint="eastAsia" w:ascii="Arial" w:hAnsi="Arial" w:eastAsia="等线" w:cs="Arial"/>
          <w:b/>
          <w:sz w:val="32"/>
          <w:highlight w:val="none"/>
          <w:lang w:val="en-US" w:eastAsia="zh-CN"/>
        </w:rPr>
        <w:t xml:space="preserve">第七条 </w:t>
      </w:r>
      <w:r>
        <w:rPr>
          <w:rFonts w:ascii="Arial" w:hAnsi="Arial" w:eastAsia="等线" w:cs="Arial"/>
          <w:b/>
          <w:sz w:val="32"/>
          <w:highlight w:val="none"/>
        </w:rPr>
        <w:t>验收、质保及售后服务</w:t>
      </w:r>
      <w:bookmarkEnd w:id="6"/>
    </w:p>
    <w:p w14:paraId="3B35C6A8">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7.1 设备运送至甲方指定交货地点后，甲方立即对货物品类、型号、规格、数量、外观完好度等内容开展初步到货验收。若到货参数、规格、数量、品类不符合法律法规及本合同约定，甲方有权拒收全部或部分货物，或要求乙方在3个工作日内完成补齐、更换、整改。若乙方逾期未妥善处理，或收到甲方书面异议通知后拒不响应、置之不理的，甲方有权自行处置已到货物或另行委托第三方采购，同时有权要求乙方承担货物退换、维修、价款扣减等违约责任，由此产生的一切费用及损失均由乙方全额承担。</w:t>
      </w:r>
    </w:p>
    <w:p w14:paraId="01555F6F">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7.2 甲方到货初步验收仅核验货物外观、数量及规格，项目最终验收结果以设备完成安装、调试、试运行合格，系统整体稳定正常运行、满足使用及设计要求为准。</w:t>
      </w:r>
    </w:p>
    <w:p w14:paraId="2A67CE89">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7.3 乙方须严格按照合同工期要求完成设备安装、调试工作，若经反复调试后，设备仍无法达标、不能正常投入使用的，甲方有权单方作退货处理，追究乙方全部违约责任，退货产生的运输费、装卸费、吊装费、清理费等所有费用均由乙方自行承担。</w:t>
      </w:r>
    </w:p>
    <w:p w14:paraId="13D8094C">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7.4 甲乙双方就设备质量、验收结果产生争议的，一致同意委托佛山市建筑工程质量检测站，按照国家现行检验标准及检测方法开展专业质量鉴定。检测费用及违约约定：检测结果不合格的，全部检测费用由乙方承担，同时乙方须按本合同总价款的20%向甲方支付违约金；检测结果合格的，检测费用由甲方承担。</w:t>
      </w:r>
    </w:p>
    <w:p w14:paraId="1EA900E3">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7.5 甲方指定人员：________，联系方式：________，负责本合同设备到货验收、单据签认等工作；乙方指定人员：________，身份证号：________，联系方式：________，负责设备交验、对接、单据签认等工作。甲方指定人员为合法收货授权代表，其在乙方送货清单及交付单据上的签字，视为设备有效送达的交付证明。除双方指定授权人员外，其他人员的验收、签字确认行为，不产生交付、验收、结算、付款的法律效力。任意一方变更对接人员的，须提前3日向对方出具书面变更通知，通知送达后变更正式生效。送货清单及票据中预先印制的格式备注内容（双方授权人员手写备注内容除外），不构成本合同组成部分，对双方无约束力。甲方完成到货验收签认，不免除乙方对设备合法来源、产品质量、技术标准等应承担的合同责任及法律责任。</w:t>
      </w:r>
    </w:p>
    <w:p w14:paraId="5E9F0109">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7.6 本合同项下设备整体质保期为12个月，自设备安装调试、试运行合格并正式投入运行之日起计算。若乙方或设备原厂承诺的质保期限长于本合同约定的，双方按最长期限执行。</w:t>
      </w:r>
    </w:p>
    <w:p w14:paraId="4F446113">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7.7 质保期内，设备所有非易损件出现质量缺陷、故障、损坏等问题的，乙方须免费更换全新配件，免费提供维修、调试、整改、优化等全套售后服务，服务过程中产生的人工、配件、交通、耗材、运维等全部费用，均由乙方全额承担。</w:t>
      </w:r>
    </w:p>
    <w:p w14:paraId="1E8B26B1">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7.8 质保期内甲方发起报修后，乙方须在15分钟内完成电话对接响应，并安排专业技术人员12小时内抵达项目现场，完成故障排查、维修、配件更换及系统调试恢复工作。乙方未按约定时效响应、到场处置的，视为违约，按本合同违约责任约定承担相应责任。</w:t>
      </w:r>
    </w:p>
    <w:p w14:paraId="6337501F">
      <w:pPr>
        <w:spacing w:before="120" w:after="120" w:line="288" w:lineRule="auto"/>
        <w:ind w:left="0"/>
        <w:jc w:val="left"/>
        <w:rPr>
          <w:highlight w:val="none"/>
        </w:rPr>
      </w:pPr>
      <w:r>
        <w:rPr>
          <w:rFonts w:hint="eastAsia" w:ascii="Arial" w:hAnsi="Arial" w:eastAsia="等线" w:cs="Arial"/>
          <w:sz w:val="22"/>
          <w:highlight w:val="none"/>
        </w:rPr>
        <w:t>7.9 设备质保期满后，乙方在收到甲方维保、维修通知后3日内须及时响应，为甲方提供优惠收费的维保服务，并提供终身技术维保支持，保障设备长期稳定、安全运行。</w:t>
      </w:r>
    </w:p>
    <w:p w14:paraId="422F8AE1">
      <w:pPr>
        <w:spacing w:before="320" w:after="120" w:line="288" w:lineRule="auto"/>
        <w:ind w:left="0"/>
        <w:jc w:val="left"/>
        <w:outlineLvl w:val="1"/>
        <w:rPr>
          <w:highlight w:val="none"/>
        </w:rPr>
      </w:pPr>
      <w:bookmarkStart w:id="7" w:name="heading_8"/>
      <w:r>
        <w:rPr>
          <w:rFonts w:ascii="Arial" w:hAnsi="Arial" w:eastAsia="等线" w:cs="Arial"/>
          <w:b/>
          <w:sz w:val="32"/>
          <w:highlight w:val="none"/>
        </w:rPr>
        <w:t>第</w:t>
      </w:r>
      <w:r>
        <w:rPr>
          <w:rFonts w:hint="eastAsia" w:ascii="Arial" w:hAnsi="Arial" w:eastAsia="等线" w:cs="Arial"/>
          <w:b/>
          <w:sz w:val="32"/>
          <w:highlight w:val="none"/>
          <w:lang w:val="en-US" w:eastAsia="zh-CN"/>
        </w:rPr>
        <w:t>七</w:t>
      </w:r>
      <w:r>
        <w:rPr>
          <w:rFonts w:ascii="Arial" w:hAnsi="Arial" w:eastAsia="等线" w:cs="Arial"/>
          <w:b/>
          <w:sz w:val="32"/>
          <w:highlight w:val="none"/>
        </w:rPr>
        <w:t>条 结算与货款支付</w:t>
      </w:r>
      <w:bookmarkEnd w:id="7"/>
    </w:p>
    <w:p w14:paraId="445A9AA1">
      <w:pPr>
        <w:spacing w:before="120" w:after="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lang w:val="en-US" w:eastAsia="zh-CN"/>
        </w:rPr>
        <w:t>7</w:t>
      </w:r>
      <w:r>
        <w:rPr>
          <w:rFonts w:hint="eastAsia" w:ascii="Arial" w:hAnsi="Arial" w:eastAsia="等线" w:cs="Arial"/>
          <w:sz w:val="22"/>
          <w:highlight w:val="none"/>
        </w:rPr>
        <w:t>.1 本合同为固定总价包干合同，</w:t>
      </w:r>
      <w:r>
        <w:rPr>
          <w:rFonts w:ascii="Arial" w:hAnsi="Arial" w:eastAsia="等线" w:cs="Arial"/>
          <w:sz w:val="22"/>
          <w:highlight w:val="none"/>
        </w:rPr>
        <w:t>履约期间不因人工、材料、设备、税费、施工工况、工期、市场价格波动、政策调整等任何因素调整。</w:t>
      </w:r>
      <w:r>
        <w:rPr>
          <w:rFonts w:hint="eastAsia" w:ascii="Arial" w:hAnsi="Arial" w:eastAsia="等线" w:cs="Arial"/>
          <w:sz w:val="22"/>
          <w:highlight w:val="none"/>
        </w:rPr>
        <w:t>合同金额（即合同总价）包括且不限于</w:t>
      </w:r>
      <w:r>
        <w:rPr>
          <w:rFonts w:hint="eastAsia" w:ascii="Arial" w:hAnsi="Arial" w:eastAsia="等线" w:cs="Arial"/>
          <w:sz w:val="22"/>
          <w:highlight w:val="none"/>
          <w:lang w:val="en-US" w:eastAsia="zh-CN"/>
        </w:rPr>
        <w:t>深化</w:t>
      </w:r>
      <w:r>
        <w:rPr>
          <w:rFonts w:hint="eastAsia" w:ascii="Arial" w:hAnsi="Arial" w:eastAsia="等线" w:cs="Arial"/>
          <w:sz w:val="22"/>
          <w:highlight w:val="none"/>
        </w:rPr>
        <w:t>设计（含专家论证）、所有设备、货物及零配件的购置和安装与调试（含调试、试运行、空载调试、负载试车）、包装、运输和仓储费用、装卸、照管、培训、售后服务等伴随的服务、操作系统及系统日后的升级维护、各种设备安装及调试期间的材料费、人工费、管理费、规费、维护费、机械费及相关接驳费用、与土建施工单位的配合费用（如有）、指导咨询费、雇员费用、安全生产费用、安装过程人员、财产等一切与本项目相关保险费用、管理费、各种税费及合同实施过程中的应预见和不可预见费用等全部费用和乙方利润，所投设备必须满足甲方/丙方的技术要求、设计要求及生产规模。乙方应负责办理所有试验、检测、验收及其他相关手续，相关费用已包含在合同总金额内</w:t>
      </w:r>
      <w:r>
        <w:rPr>
          <w:rFonts w:hint="eastAsia" w:ascii="Arial" w:hAnsi="Arial" w:eastAsia="等线" w:cs="Arial"/>
          <w:sz w:val="22"/>
          <w:highlight w:val="none"/>
          <w:lang w:eastAsia="zh-CN"/>
        </w:rPr>
        <w:t>，</w:t>
      </w:r>
      <w:r>
        <w:rPr>
          <w:rFonts w:ascii="Arial" w:hAnsi="Arial" w:eastAsia="等线" w:cs="Arial"/>
          <w:sz w:val="22"/>
          <w:highlight w:val="none"/>
        </w:rPr>
        <w:t>甲方无需另行支付任何其他费用。</w:t>
      </w:r>
    </w:p>
    <w:p w14:paraId="546D73C7">
      <w:pPr>
        <w:spacing w:before="120" w:line="288" w:lineRule="auto"/>
        <w:ind w:left="0"/>
        <w:jc w:val="left"/>
        <w:rPr>
          <w:rFonts w:hint="eastAsia" w:ascii="Arial" w:hAnsi="Arial" w:eastAsia="等线" w:cs="Arial"/>
          <w:sz w:val="22"/>
          <w:highlight w:val="none"/>
        </w:rPr>
      </w:pPr>
      <w:r>
        <w:rPr>
          <w:rFonts w:hint="eastAsia" w:ascii="Arial" w:hAnsi="Arial" w:eastAsia="等线" w:cs="Arial"/>
          <w:sz w:val="22"/>
          <w:highlight w:val="none"/>
        </w:rPr>
        <w:t>乙方</w:t>
      </w:r>
      <w:r>
        <w:rPr>
          <w:rFonts w:hint="eastAsia" w:ascii="Arial" w:hAnsi="Arial" w:eastAsia="等线" w:cs="Arial"/>
          <w:sz w:val="22"/>
          <w:highlight w:val="none"/>
          <w:lang w:val="en-US" w:eastAsia="zh-CN"/>
        </w:rPr>
        <w:t>已</w:t>
      </w:r>
      <w:r>
        <w:rPr>
          <w:rFonts w:hint="eastAsia" w:ascii="Arial" w:hAnsi="Arial" w:eastAsia="等线" w:cs="Arial"/>
          <w:sz w:val="22"/>
          <w:highlight w:val="none"/>
        </w:rPr>
        <w:t>充分考虑本</w:t>
      </w:r>
      <w:r>
        <w:rPr>
          <w:rFonts w:hint="eastAsia" w:ascii="Arial" w:hAnsi="Arial" w:eastAsia="等线" w:cs="Arial"/>
          <w:sz w:val="22"/>
          <w:highlight w:val="none"/>
          <w:lang w:val="en-US" w:eastAsia="zh-CN"/>
        </w:rPr>
        <w:t>合同</w:t>
      </w:r>
      <w:r>
        <w:rPr>
          <w:rFonts w:hint="eastAsia" w:ascii="Arial" w:hAnsi="Arial" w:eastAsia="等线" w:cs="Arial"/>
          <w:sz w:val="22"/>
          <w:highlight w:val="none"/>
        </w:rPr>
        <w:t>实施期间可能产生的所有费用。在</w:t>
      </w:r>
      <w:r>
        <w:rPr>
          <w:rFonts w:hint="eastAsia" w:ascii="Arial" w:hAnsi="Arial" w:eastAsia="等线" w:cs="Arial"/>
          <w:sz w:val="22"/>
          <w:highlight w:val="none"/>
          <w:lang w:val="en-US" w:eastAsia="zh-CN"/>
        </w:rPr>
        <w:t>合同</w:t>
      </w:r>
      <w:r>
        <w:rPr>
          <w:rFonts w:hint="eastAsia" w:ascii="Arial" w:hAnsi="Arial" w:eastAsia="等线" w:cs="Arial"/>
          <w:sz w:val="22"/>
          <w:highlight w:val="none"/>
        </w:rPr>
        <w:t>实施过程中，乙方不得以</w:t>
      </w:r>
      <w:r>
        <w:rPr>
          <w:rFonts w:hint="eastAsia" w:ascii="Arial" w:hAnsi="Arial" w:eastAsia="等线" w:cs="Arial"/>
          <w:sz w:val="22"/>
          <w:highlight w:val="none"/>
          <w:lang w:val="en-US" w:eastAsia="zh-CN"/>
        </w:rPr>
        <w:t>深化设计</w:t>
      </w:r>
      <w:r>
        <w:rPr>
          <w:rFonts w:hint="eastAsia" w:ascii="Arial" w:hAnsi="Arial" w:eastAsia="等线" w:cs="Arial"/>
          <w:sz w:val="22"/>
          <w:highlight w:val="none"/>
        </w:rPr>
        <w:t>中遗漏某件产品或某件产品规格参数有误、地质原因导致基础变更为由要求增加费用，相关费用已包含在</w:t>
      </w:r>
      <w:r>
        <w:rPr>
          <w:rFonts w:hint="eastAsia" w:ascii="Arial" w:hAnsi="Arial" w:eastAsia="等线" w:cs="Arial"/>
          <w:sz w:val="22"/>
          <w:highlight w:val="none"/>
          <w:lang w:val="en-US" w:eastAsia="zh-CN"/>
        </w:rPr>
        <w:t>合同</w:t>
      </w:r>
      <w:r>
        <w:rPr>
          <w:rFonts w:hint="eastAsia" w:ascii="Arial" w:hAnsi="Arial" w:eastAsia="等线" w:cs="Arial"/>
          <w:sz w:val="22"/>
          <w:highlight w:val="none"/>
        </w:rPr>
        <w:t>价中。此外，设备及货物的实际安置（安装）点可能会根据甲方的要求进行调整或变更，此类变动所产生的费用由乙方自行承担，</w:t>
      </w:r>
      <w:r>
        <w:rPr>
          <w:rFonts w:hint="eastAsia" w:ascii="Arial" w:hAnsi="Arial" w:eastAsia="等线" w:cs="Arial"/>
          <w:sz w:val="22"/>
          <w:highlight w:val="none"/>
          <w:lang w:val="en-US" w:eastAsia="zh-CN"/>
        </w:rPr>
        <w:t>甲</w:t>
      </w:r>
      <w:r>
        <w:rPr>
          <w:rFonts w:hint="eastAsia" w:ascii="Arial" w:hAnsi="Arial" w:eastAsia="等线" w:cs="Arial"/>
          <w:sz w:val="22"/>
          <w:highlight w:val="none"/>
        </w:rPr>
        <w:t>方不另行计取支付。</w:t>
      </w:r>
    </w:p>
    <w:p w14:paraId="0DD1D77E">
      <w:pPr>
        <w:spacing w:before="120" w:after="120" w:line="288" w:lineRule="auto"/>
        <w:ind w:left="0"/>
        <w:jc w:val="left"/>
        <w:rPr>
          <w:highlight w:val="none"/>
        </w:rPr>
      </w:pPr>
      <w:r>
        <w:rPr>
          <w:rFonts w:hint="eastAsia" w:ascii="Arial" w:hAnsi="Arial" w:eastAsia="等线" w:cs="Arial"/>
          <w:sz w:val="22"/>
          <w:highlight w:val="none"/>
          <w:lang w:val="en-US" w:eastAsia="zh-CN"/>
        </w:rPr>
        <w:t>7</w:t>
      </w:r>
      <w:r>
        <w:rPr>
          <w:rFonts w:ascii="Arial" w:hAnsi="Arial" w:eastAsia="等线" w:cs="Arial"/>
          <w:sz w:val="22"/>
          <w:highlight w:val="none"/>
        </w:rPr>
        <w:t>.</w:t>
      </w:r>
      <w:r>
        <w:rPr>
          <w:rFonts w:hint="eastAsia" w:ascii="Arial" w:hAnsi="Arial" w:eastAsia="等线" w:cs="Arial"/>
          <w:sz w:val="22"/>
          <w:highlight w:val="none"/>
          <w:lang w:val="en-US" w:eastAsia="zh-CN"/>
        </w:rPr>
        <w:t>2</w:t>
      </w:r>
      <w:r>
        <w:rPr>
          <w:rFonts w:ascii="Arial" w:hAnsi="Arial" w:eastAsia="等线" w:cs="Arial"/>
          <w:sz w:val="22"/>
          <w:highlight w:val="none"/>
        </w:rPr>
        <w:t xml:space="preserve"> 本合同固定包干总价（含增值税）______元（大写：人民币______）。其中，不含税价款为 ______元（大写：人民币 ______），增值税税率为 ______%，增值税 ______元（大写：人民币 ______）。</w:t>
      </w:r>
      <w:r>
        <w:rPr>
          <w:rFonts w:hint="eastAsia" w:ascii="Arial" w:hAnsi="Arial" w:eastAsia="等线" w:cs="Arial"/>
          <w:sz w:val="22"/>
          <w:highlight w:val="none"/>
        </w:rPr>
        <w:t>若因国家税务政策变化导致税率调整，不含增值税价格不变，具体税金以变更后的税率计算。</w:t>
      </w:r>
    </w:p>
    <w:p w14:paraId="666466FE">
      <w:pPr>
        <w:spacing w:before="120" w:after="120" w:line="288" w:lineRule="auto"/>
        <w:ind w:left="0"/>
        <w:jc w:val="left"/>
        <w:rPr>
          <w:highlight w:val="none"/>
        </w:rPr>
      </w:pPr>
      <w:r>
        <w:rPr>
          <w:rFonts w:hint="eastAsia" w:ascii="Arial" w:hAnsi="Arial" w:eastAsia="等线" w:cs="Arial"/>
          <w:sz w:val="22"/>
          <w:highlight w:val="none"/>
          <w:lang w:val="en-US" w:eastAsia="zh-CN"/>
        </w:rPr>
        <w:t>7</w:t>
      </w:r>
      <w:r>
        <w:rPr>
          <w:rFonts w:ascii="Arial" w:hAnsi="Arial" w:eastAsia="等线" w:cs="Arial"/>
          <w:sz w:val="22"/>
          <w:highlight w:val="none"/>
        </w:rPr>
        <w:t>.</w:t>
      </w:r>
      <w:r>
        <w:rPr>
          <w:rFonts w:hint="eastAsia" w:ascii="Arial" w:hAnsi="Arial" w:eastAsia="等线" w:cs="Arial"/>
          <w:sz w:val="22"/>
          <w:highlight w:val="none"/>
          <w:lang w:val="en-US" w:eastAsia="zh-CN"/>
        </w:rPr>
        <w:t>3</w:t>
      </w:r>
      <w:r>
        <w:rPr>
          <w:rFonts w:ascii="Arial" w:hAnsi="Arial" w:eastAsia="等线" w:cs="Arial"/>
          <w:sz w:val="22"/>
          <w:highlight w:val="none"/>
        </w:rPr>
        <w:t xml:space="preserve"> 本合同为固定总价包干，结算以合同固定总价为最终结算金额，唯一结算依据为甲乙双方整体验收合格确认文件，除此之外任何证明、收条、欠条、信函、聊天记录、票据等文件，均不得作为结算、支付依据。</w:t>
      </w:r>
    </w:p>
    <w:p w14:paraId="3CC4816F">
      <w:pPr>
        <w:spacing w:before="120" w:after="120" w:line="288" w:lineRule="auto"/>
        <w:ind w:left="0"/>
        <w:jc w:val="left"/>
        <w:rPr>
          <w:highlight w:val="none"/>
        </w:rPr>
      </w:pPr>
      <w:r>
        <w:rPr>
          <w:rFonts w:hint="eastAsia" w:ascii="Arial" w:hAnsi="Arial" w:eastAsia="等线" w:cs="Arial"/>
          <w:sz w:val="22"/>
          <w:highlight w:val="none"/>
          <w:lang w:val="en-US" w:eastAsia="zh-CN"/>
        </w:rPr>
        <w:t>7</w:t>
      </w:r>
      <w:r>
        <w:rPr>
          <w:rFonts w:ascii="Arial" w:hAnsi="Arial" w:eastAsia="等线" w:cs="Arial"/>
          <w:sz w:val="22"/>
          <w:highlight w:val="none"/>
        </w:rPr>
        <w:t>.</w:t>
      </w:r>
      <w:r>
        <w:rPr>
          <w:rFonts w:hint="eastAsia" w:ascii="Arial" w:hAnsi="Arial" w:eastAsia="等线" w:cs="Arial"/>
          <w:sz w:val="22"/>
          <w:highlight w:val="none"/>
          <w:lang w:val="en-US" w:eastAsia="zh-CN"/>
        </w:rPr>
        <w:t>4</w:t>
      </w:r>
      <w:r>
        <w:rPr>
          <w:rFonts w:ascii="Arial" w:hAnsi="Arial" w:eastAsia="等线" w:cs="Arial"/>
          <w:sz w:val="22"/>
          <w:highlight w:val="none"/>
        </w:rPr>
        <w:t xml:space="preserve"> 双方特别约定：遵循“先开票、后付款”的原则，甲方按各付款节点付款前，乙方须按对应节点结算金额向甲方提供合法有效的增值税专用发票，开票主体、收款账户必须与合同乙方名称一致，乙方应在发票开具后7日内完成甲方交接签收。发票逾期、缺失、不合规的，甲方付款顺延，不视为甲方违约，所有责任及损失由乙方承担。</w:t>
      </w:r>
    </w:p>
    <w:p w14:paraId="6BEF1644">
      <w:pPr>
        <w:spacing w:before="120" w:after="120" w:line="288" w:lineRule="auto"/>
        <w:ind w:left="0"/>
        <w:jc w:val="left"/>
        <w:rPr>
          <w:highlight w:val="none"/>
        </w:rPr>
      </w:pPr>
      <w:r>
        <w:rPr>
          <w:rFonts w:hint="eastAsia" w:ascii="Arial" w:hAnsi="Arial" w:eastAsia="等线" w:cs="Arial"/>
          <w:sz w:val="22"/>
          <w:highlight w:val="none"/>
          <w:lang w:val="en-US" w:eastAsia="zh-CN"/>
        </w:rPr>
        <w:t>7</w:t>
      </w:r>
      <w:r>
        <w:rPr>
          <w:rFonts w:ascii="Arial" w:hAnsi="Arial" w:eastAsia="等线" w:cs="Arial"/>
          <w:sz w:val="22"/>
          <w:highlight w:val="none"/>
        </w:rPr>
        <w:t>.</w:t>
      </w:r>
      <w:r>
        <w:rPr>
          <w:rFonts w:hint="eastAsia" w:ascii="Arial" w:hAnsi="Arial" w:eastAsia="等线" w:cs="Arial"/>
          <w:sz w:val="22"/>
          <w:highlight w:val="none"/>
          <w:lang w:val="en-US" w:eastAsia="zh-CN"/>
        </w:rPr>
        <w:t>5</w:t>
      </w:r>
      <w:r>
        <w:rPr>
          <w:rFonts w:ascii="Arial" w:hAnsi="Arial" w:eastAsia="等线" w:cs="Arial"/>
          <w:sz w:val="22"/>
          <w:highlight w:val="none"/>
        </w:rPr>
        <w:t xml:space="preserve"> 付款方式及节点：本项目采用</w:t>
      </w:r>
      <w:r>
        <w:rPr>
          <w:rFonts w:ascii="Arial" w:hAnsi="Arial" w:eastAsia="等线" w:cs="Arial"/>
          <w:b/>
          <w:sz w:val="22"/>
          <w:highlight w:val="none"/>
        </w:rPr>
        <w:t>固定总价、分三次支付</w:t>
      </w:r>
      <w:r>
        <w:rPr>
          <w:rFonts w:ascii="Arial" w:hAnsi="Arial" w:eastAsia="等线" w:cs="Arial"/>
          <w:sz w:val="22"/>
          <w:highlight w:val="none"/>
        </w:rPr>
        <w:t>模式，遵循“先开票、后付款”原则，具体付款节点如下：</w:t>
      </w:r>
    </w:p>
    <w:p w14:paraId="1EA9A618">
      <w:pPr>
        <w:spacing w:before="120" w:after="120" w:line="288" w:lineRule="auto"/>
        <w:ind w:left="0"/>
        <w:jc w:val="left"/>
        <w:rPr>
          <w:highlight w:val="none"/>
        </w:rPr>
      </w:pPr>
      <w:r>
        <w:rPr>
          <w:rFonts w:ascii="Arial" w:hAnsi="Arial" w:eastAsia="等线" w:cs="Arial"/>
          <w:sz w:val="22"/>
          <w:highlight w:val="none"/>
        </w:rPr>
        <w:t>（1）第一笔预付款：</w:t>
      </w:r>
      <w:r>
        <w:rPr>
          <w:rFonts w:hint="eastAsia" w:ascii="Arial" w:hAnsi="Arial" w:eastAsia="等线" w:cs="Arial"/>
          <w:sz w:val="22"/>
          <w:highlight w:val="none"/>
          <w:lang w:val="en-US" w:eastAsia="zh-CN"/>
        </w:rPr>
        <w:t>乙方向甲方提交深化设计和</w:t>
      </w:r>
      <w:r>
        <w:rPr>
          <w:rFonts w:ascii="Arial" w:hAnsi="Arial" w:eastAsia="等线" w:cs="Arial"/>
          <w:sz w:val="22"/>
          <w:highlight w:val="none"/>
        </w:rPr>
        <w:t>合规等额增值税专用发票后</w:t>
      </w:r>
      <w:r>
        <w:rPr>
          <w:rFonts w:ascii="Arial" w:hAnsi="Arial" w:eastAsia="等线" w:cs="Arial"/>
          <w:b/>
          <w:sz w:val="22"/>
          <w:highlight w:val="none"/>
        </w:rPr>
        <w:t>30日内</w:t>
      </w:r>
      <w:r>
        <w:rPr>
          <w:rFonts w:ascii="Arial" w:hAnsi="Arial" w:eastAsia="等线" w:cs="Arial"/>
          <w:sz w:val="22"/>
          <w:highlight w:val="none"/>
        </w:rPr>
        <w:t>，甲方向乙方支付合同固定总价的</w:t>
      </w:r>
      <w:r>
        <w:rPr>
          <w:rFonts w:ascii="Arial" w:hAnsi="Arial" w:eastAsia="等线" w:cs="Arial"/>
          <w:b/>
          <w:sz w:val="22"/>
          <w:highlight w:val="none"/>
        </w:rPr>
        <w:t>30%</w:t>
      </w:r>
      <w:r>
        <w:rPr>
          <w:rFonts w:ascii="Arial" w:hAnsi="Arial" w:eastAsia="等线" w:cs="Arial"/>
          <w:sz w:val="22"/>
          <w:highlight w:val="none"/>
        </w:rPr>
        <w:t>；</w:t>
      </w:r>
    </w:p>
    <w:p w14:paraId="7DBCDD95">
      <w:pPr>
        <w:spacing w:before="120" w:after="120" w:line="288" w:lineRule="auto"/>
        <w:ind w:left="0"/>
        <w:jc w:val="left"/>
        <w:rPr>
          <w:highlight w:val="none"/>
        </w:rPr>
      </w:pPr>
      <w:r>
        <w:rPr>
          <w:rFonts w:ascii="Arial" w:hAnsi="Arial" w:eastAsia="等线" w:cs="Arial"/>
          <w:sz w:val="22"/>
          <w:highlight w:val="none"/>
        </w:rPr>
        <w:t>（2）第二笔进度款：乙方完成全部深化设计、设备供货、安装、管线布设、调试、试运行工作，项目整体验收合格、顺利投产运行，且乙方提交剩余全额合规增值税专用发票后30日内，甲方向乙方支付至合同固定总价的</w:t>
      </w:r>
      <w:r>
        <w:rPr>
          <w:rFonts w:ascii="Arial" w:hAnsi="Arial" w:eastAsia="等线" w:cs="Arial"/>
          <w:b/>
          <w:sz w:val="22"/>
          <w:highlight w:val="none"/>
        </w:rPr>
        <w:t>97%</w:t>
      </w:r>
      <w:r>
        <w:rPr>
          <w:rFonts w:ascii="Arial" w:hAnsi="Arial" w:eastAsia="等线" w:cs="Arial"/>
          <w:sz w:val="22"/>
          <w:highlight w:val="none"/>
        </w:rPr>
        <w:t>；</w:t>
      </w:r>
    </w:p>
    <w:p w14:paraId="229A6137">
      <w:pPr>
        <w:spacing w:before="120" w:after="120" w:line="288" w:lineRule="auto"/>
        <w:ind w:left="0"/>
        <w:jc w:val="left"/>
        <w:rPr>
          <w:highlight w:val="none"/>
        </w:rPr>
      </w:pPr>
      <w:r>
        <w:rPr>
          <w:rFonts w:ascii="Arial" w:hAnsi="Arial" w:eastAsia="等线" w:cs="Arial"/>
          <w:sz w:val="22"/>
          <w:highlight w:val="none"/>
        </w:rPr>
        <w:t>（3）质量保证金：剩余</w:t>
      </w:r>
      <w:r>
        <w:rPr>
          <w:rFonts w:ascii="Arial" w:hAnsi="Arial" w:eastAsia="等线" w:cs="Arial"/>
          <w:b/>
          <w:sz w:val="22"/>
          <w:highlight w:val="none"/>
        </w:rPr>
        <w:t>3%</w:t>
      </w:r>
      <w:r>
        <w:rPr>
          <w:rFonts w:ascii="Arial" w:hAnsi="Arial" w:eastAsia="等线" w:cs="Arial"/>
          <w:sz w:val="22"/>
          <w:highlight w:val="none"/>
        </w:rPr>
        <w:t>合同总价作为质保金，待本合同设备质保期满、乙方完全履行全部售后维保义务、无任何质量问题及违约情形后，甲方在1个月内无息付清。</w:t>
      </w:r>
    </w:p>
    <w:p w14:paraId="663451B1">
      <w:pPr>
        <w:spacing w:before="120" w:after="120" w:line="288" w:lineRule="auto"/>
        <w:ind w:left="0"/>
        <w:jc w:val="left"/>
        <w:rPr>
          <w:highlight w:val="none"/>
        </w:rPr>
      </w:pPr>
      <w:r>
        <w:rPr>
          <w:rFonts w:ascii="Arial" w:hAnsi="Arial" w:eastAsia="等线" w:cs="Arial"/>
          <w:sz w:val="22"/>
          <w:highlight w:val="none"/>
        </w:rPr>
        <w:t>质保金的支付不免除乙方后续终身维保服务义务及设备质量终身责任。</w:t>
      </w:r>
    </w:p>
    <w:p w14:paraId="2AAA0C57">
      <w:pPr>
        <w:spacing w:before="120" w:after="120" w:line="288" w:lineRule="auto"/>
        <w:ind w:left="0"/>
        <w:jc w:val="left"/>
        <w:rPr>
          <w:highlight w:val="none"/>
        </w:rPr>
      </w:pPr>
      <w:r>
        <w:rPr>
          <w:rFonts w:hint="eastAsia" w:ascii="Arial" w:hAnsi="Arial" w:eastAsia="等线" w:cs="Arial"/>
          <w:sz w:val="22"/>
          <w:highlight w:val="none"/>
          <w:lang w:val="en-US" w:eastAsia="zh-CN"/>
        </w:rPr>
        <w:t>7.6</w:t>
      </w:r>
      <w:r>
        <w:rPr>
          <w:rFonts w:ascii="Arial" w:hAnsi="Arial" w:eastAsia="等线" w:cs="Arial"/>
          <w:sz w:val="22"/>
          <w:highlight w:val="none"/>
        </w:rPr>
        <w:t xml:space="preserve"> 甲方未能按照约定期限付款的，按本合同</w:t>
      </w:r>
      <w:r>
        <w:rPr>
          <w:rFonts w:hint="eastAsia" w:ascii="Arial" w:hAnsi="Arial" w:eastAsia="等线" w:cs="Arial"/>
          <w:sz w:val="22"/>
          <w:highlight w:val="none"/>
          <w:lang w:val="en-US" w:eastAsia="zh-CN"/>
        </w:rPr>
        <w:t>约定</w:t>
      </w:r>
      <w:r>
        <w:rPr>
          <w:rFonts w:ascii="Arial" w:hAnsi="Arial" w:eastAsia="等线" w:cs="Arial"/>
          <w:sz w:val="22"/>
          <w:highlight w:val="none"/>
        </w:rPr>
        <w:t>承担逾期付款责任。</w:t>
      </w:r>
    </w:p>
    <w:p w14:paraId="24C613E8">
      <w:pPr>
        <w:spacing w:before="120" w:after="120" w:line="288" w:lineRule="auto"/>
        <w:ind w:left="0"/>
        <w:jc w:val="left"/>
        <w:rPr>
          <w:highlight w:val="none"/>
        </w:rPr>
      </w:pPr>
      <w:r>
        <w:rPr>
          <w:rFonts w:hint="eastAsia" w:ascii="Arial" w:hAnsi="Arial" w:eastAsia="等线" w:cs="Arial"/>
          <w:sz w:val="22"/>
          <w:highlight w:val="none"/>
          <w:lang w:val="en-US" w:eastAsia="zh-CN"/>
        </w:rPr>
        <w:t>7</w:t>
      </w:r>
      <w:r>
        <w:rPr>
          <w:rFonts w:ascii="Arial" w:hAnsi="Arial" w:eastAsia="等线" w:cs="Arial"/>
          <w:sz w:val="22"/>
          <w:highlight w:val="none"/>
        </w:rPr>
        <w:t>.</w:t>
      </w:r>
      <w:r>
        <w:rPr>
          <w:rFonts w:hint="eastAsia" w:ascii="Arial" w:hAnsi="Arial" w:eastAsia="等线" w:cs="Arial"/>
          <w:sz w:val="22"/>
          <w:highlight w:val="none"/>
          <w:lang w:val="en-US" w:eastAsia="zh-CN"/>
        </w:rPr>
        <w:t>7</w:t>
      </w:r>
      <w:r>
        <w:rPr>
          <w:rFonts w:ascii="Arial" w:hAnsi="Arial" w:eastAsia="等线" w:cs="Arial"/>
          <w:sz w:val="22"/>
          <w:highlight w:val="none"/>
        </w:rPr>
        <w:t xml:space="preserve"> 货款支付方式：银行转账</w:t>
      </w:r>
    </w:p>
    <w:p w14:paraId="3A22E228">
      <w:pPr>
        <w:spacing w:before="120" w:after="120" w:line="288" w:lineRule="auto"/>
        <w:ind w:left="0"/>
        <w:jc w:val="left"/>
        <w:rPr>
          <w:highlight w:val="none"/>
        </w:rPr>
      </w:pPr>
      <w:r>
        <w:rPr>
          <w:rFonts w:ascii="Arial" w:hAnsi="Arial" w:eastAsia="等线" w:cs="Arial"/>
          <w:sz w:val="22"/>
          <w:highlight w:val="none"/>
        </w:rPr>
        <w:t>乙方指定联系人：______，联系方式：______</w:t>
      </w:r>
    </w:p>
    <w:p w14:paraId="611868F8">
      <w:pPr>
        <w:spacing w:before="120" w:after="120" w:line="288" w:lineRule="auto"/>
        <w:ind w:left="0"/>
        <w:jc w:val="left"/>
        <w:rPr>
          <w:highlight w:val="none"/>
        </w:rPr>
      </w:pPr>
      <w:r>
        <w:rPr>
          <w:rFonts w:ascii="Arial" w:hAnsi="Arial" w:eastAsia="等线" w:cs="Arial"/>
          <w:sz w:val="22"/>
          <w:highlight w:val="none"/>
        </w:rPr>
        <w:t>开户行：______</w:t>
      </w:r>
    </w:p>
    <w:p w14:paraId="04DF012B">
      <w:pPr>
        <w:spacing w:before="120" w:after="120" w:line="288" w:lineRule="auto"/>
        <w:ind w:left="0"/>
        <w:jc w:val="left"/>
        <w:rPr>
          <w:highlight w:val="none"/>
        </w:rPr>
      </w:pPr>
      <w:r>
        <w:rPr>
          <w:rFonts w:ascii="Arial" w:hAnsi="Arial" w:eastAsia="等线" w:cs="Arial"/>
          <w:sz w:val="22"/>
          <w:highlight w:val="none"/>
        </w:rPr>
        <w:t>账号：______</w:t>
      </w:r>
    </w:p>
    <w:p w14:paraId="15A2755D">
      <w:pPr>
        <w:spacing w:before="120" w:after="120" w:line="288" w:lineRule="auto"/>
        <w:ind w:left="0"/>
        <w:jc w:val="left"/>
        <w:rPr>
          <w:highlight w:val="none"/>
        </w:rPr>
      </w:pPr>
      <w:r>
        <w:rPr>
          <w:rFonts w:ascii="Arial" w:hAnsi="Arial" w:eastAsia="等线" w:cs="Arial"/>
          <w:sz w:val="22"/>
          <w:highlight w:val="none"/>
        </w:rPr>
        <w:t>账户名：______</w:t>
      </w:r>
    </w:p>
    <w:p w14:paraId="35381D45">
      <w:pPr>
        <w:spacing w:before="320" w:after="120" w:line="288" w:lineRule="auto"/>
        <w:ind w:left="0"/>
        <w:jc w:val="left"/>
        <w:outlineLvl w:val="1"/>
        <w:rPr>
          <w:highlight w:val="none"/>
        </w:rPr>
      </w:pPr>
      <w:bookmarkStart w:id="8" w:name="heading_9"/>
      <w:r>
        <w:rPr>
          <w:rFonts w:ascii="Arial" w:hAnsi="Arial" w:eastAsia="等线" w:cs="Arial"/>
          <w:b/>
          <w:sz w:val="32"/>
          <w:highlight w:val="none"/>
        </w:rPr>
        <w:t>第</w:t>
      </w:r>
      <w:r>
        <w:rPr>
          <w:rFonts w:hint="eastAsia" w:ascii="Arial" w:hAnsi="Arial" w:eastAsia="等线" w:cs="Arial"/>
          <w:b/>
          <w:sz w:val="32"/>
          <w:highlight w:val="none"/>
          <w:lang w:val="en-US" w:eastAsia="zh-CN"/>
        </w:rPr>
        <w:t>八</w:t>
      </w:r>
      <w:r>
        <w:rPr>
          <w:rFonts w:ascii="Arial" w:hAnsi="Arial" w:eastAsia="等线" w:cs="Arial"/>
          <w:b/>
          <w:sz w:val="32"/>
          <w:highlight w:val="none"/>
        </w:rPr>
        <w:t>条 风险转移和所有权转移</w:t>
      </w:r>
    </w:p>
    <w:p w14:paraId="1CB09F36">
      <w:pPr>
        <w:spacing w:before="120" w:after="120" w:line="288" w:lineRule="auto"/>
        <w:ind w:left="0"/>
        <w:jc w:val="left"/>
        <w:rPr>
          <w:highlight w:val="none"/>
        </w:rPr>
      </w:pPr>
      <w:r>
        <w:rPr>
          <w:rFonts w:ascii="Arial" w:hAnsi="Arial" w:eastAsia="等线" w:cs="Arial"/>
          <w:sz w:val="22"/>
          <w:highlight w:val="none"/>
        </w:rPr>
        <w:t>货物（设备）毁损灭失的风险，在甲方验收合格、设备调试正常运行并完成交付前由乙方负担，交付后由甲方负担。设备所有权自验收合格、完成交付之日起正式归甲方所有。</w:t>
      </w:r>
    </w:p>
    <w:p w14:paraId="03DE971C">
      <w:pPr>
        <w:spacing w:before="320" w:after="120" w:line="288" w:lineRule="auto"/>
        <w:ind w:left="0"/>
        <w:jc w:val="left"/>
        <w:outlineLvl w:val="1"/>
        <w:rPr>
          <w:highlight w:val="none"/>
        </w:rPr>
      </w:pPr>
      <w:r>
        <w:rPr>
          <w:rFonts w:ascii="Arial" w:hAnsi="Arial" w:eastAsia="等线" w:cs="Arial"/>
          <w:b/>
          <w:sz w:val="32"/>
          <w:highlight w:val="none"/>
        </w:rPr>
        <w:t>第</w:t>
      </w:r>
      <w:r>
        <w:rPr>
          <w:rFonts w:hint="eastAsia" w:ascii="Arial" w:hAnsi="Arial" w:eastAsia="等线" w:cs="Arial"/>
          <w:b/>
          <w:sz w:val="32"/>
          <w:highlight w:val="none"/>
          <w:lang w:val="en-US" w:eastAsia="zh-CN"/>
        </w:rPr>
        <w:t>九</w:t>
      </w:r>
      <w:r>
        <w:rPr>
          <w:rFonts w:ascii="Arial" w:hAnsi="Arial" w:eastAsia="等线" w:cs="Arial"/>
          <w:b/>
          <w:sz w:val="32"/>
          <w:highlight w:val="none"/>
        </w:rPr>
        <w:t>条 双方权利义务</w:t>
      </w:r>
      <w:bookmarkEnd w:id="8"/>
    </w:p>
    <w:p w14:paraId="30CE4926">
      <w:pPr>
        <w:spacing w:before="300" w:after="120" w:line="288" w:lineRule="auto"/>
        <w:ind w:left="0"/>
        <w:jc w:val="left"/>
        <w:outlineLvl w:val="2"/>
        <w:rPr>
          <w:highlight w:val="none"/>
        </w:rPr>
      </w:pPr>
      <w:bookmarkStart w:id="9" w:name="heading_10"/>
      <w:r>
        <w:rPr>
          <w:rFonts w:hint="eastAsia" w:ascii="Arial" w:hAnsi="Arial" w:eastAsia="等线" w:cs="Arial"/>
          <w:b/>
          <w:sz w:val="30"/>
          <w:highlight w:val="none"/>
          <w:lang w:val="en-US" w:eastAsia="zh-CN"/>
        </w:rPr>
        <w:t>9</w:t>
      </w:r>
      <w:r>
        <w:rPr>
          <w:rFonts w:ascii="Arial" w:hAnsi="Arial" w:eastAsia="等线" w:cs="Arial"/>
          <w:b/>
          <w:sz w:val="30"/>
          <w:highlight w:val="none"/>
        </w:rPr>
        <w:t>.1 甲方的权利义务</w:t>
      </w:r>
      <w:bookmarkEnd w:id="9"/>
    </w:p>
    <w:p w14:paraId="00E4FB16">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.1.1 甲方负责提供供货计划和准确的交货地点，及时向乙方下达供货、进场通知。</w:t>
      </w:r>
    </w:p>
    <w:p w14:paraId="76D07C51">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.1.2 按合同约定及时结算、支付合同价款。</w:t>
      </w:r>
    </w:p>
    <w:p w14:paraId="560188CC">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.1.3 甲方不得无故拒绝接收供货计划范围内的合格货物。</w:t>
      </w:r>
    </w:p>
    <w:p w14:paraId="7F960092">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.1.4 按合同约定标准对货物进行检验和验收。</w:t>
      </w:r>
    </w:p>
    <w:p w14:paraId="51284EF3">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.1.5 配合接收乙方提供的设备操作培训、维保指导及保修服务。</w:t>
      </w:r>
    </w:p>
    <w:p w14:paraId="40AE362A">
      <w:pPr>
        <w:spacing w:before="300" w:after="120" w:line="288" w:lineRule="auto"/>
        <w:ind w:left="0"/>
        <w:jc w:val="left"/>
        <w:outlineLvl w:val="2"/>
        <w:rPr>
          <w:highlight w:val="none"/>
        </w:rPr>
      </w:pPr>
      <w:bookmarkStart w:id="10" w:name="heading_11"/>
      <w:r>
        <w:rPr>
          <w:rFonts w:hint="eastAsia" w:ascii="Arial" w:hAnsi="Arial" w:eastAsia="等线" w:cs="Arial"/>
          <w:b/>
          <w:sz w:val="30"/>
          <w:highlight w:val="none"/>
          <w:lang w:val="en-US" w:eastAsia="zh-CN"/>
        </w:rPr>
        <w:t>9</w:t>
      </w:r>
      <w:r>
        <w:rPr>
          <w:rFonts w:ascii="Arial" w:hAnsi="Arial" w:eastAsia="等线" w:cs="Arial"/>
          <w:b/>
          <w:sz w:val="30"/>
          <w:highlight w:val="none"/>
        </w:rPr>
        <w:t>.2 乙方的权利义务</w:t>
      </w:r>
      <w:bookmarkEnd w:id="10"/>
    </w:p>
    <w:p w14:paraId="5C6408FD">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.2.1 乙方须结合本项目现场实际工况，自主完成</w:t>
      </w:r>
      <w:r>
        <w:rPr>
          <w:rFonts w:hint="eastAsia" w:ascii="Arial" w:hAnsi="Arial" w:eastAsia="等线" w:cs="Arial"/>
          <w:sz w:val="22"/>
          <w:highlight w:val="none"/>
          <w:lang w:val="en-US" w:eastAsia="zh-CN"/>
        </w:rPr>
        <w:t>合同项下所有设备</w:t>
      </w:r>
      <w:r>
        <w:rPr>
          <w:rFonts w:ascii="Arial" w:hAnsi="Arial" w:eastAsia="等线" w:cs="Arial"/>
          <w:sz w:val="22"/>
          <w:highlight w:val="none"/>
        </w:rPr>
        <w:t>深化设计、方案优化工作，严格按照合同约定技术标准、参数和质量要求，完成全套设备及配套配件供货、运输、现场安装、管线布设、整机调试、试运行等全部工作，确保设备性能达标、适配现场工况，最终实现设备验收合格、顺利投产稳定运行；同时乙方应充分考虑甲方施工特点，精心组织、配备足够人员、设备及运输能力，全程保障设备安装调试及投产运行需求。</w:t>
      </w:r>
    </w:p>
    <w:p w14:paraId="65CB43B9">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.2.2 及时向甲方提供设备合格证书、检测报告、技术说明书及甲方要求的其他相关资料。</w:t>
      </w:r>
    </w:p>
    <w:p w14:paraId="2DE27646">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.2.3 乙方与第三方发生的任何经济往来和债务纠纷均与甲方无关，乙方保证本次供货设备无权属瑕疵、无抵押查封、无知识产权争议，如给甲方造成任何损失的，由乙方全额承担赔偿责任。</w:t>
      </w:r>
    </w:p>
    <w:p w14:paraId="73E73D00">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.2.4 乙方积极协助甲方在税法规定期限内办理有关的进项税额的认证申办手续。乙方开具的增值税专用发票在送达甲方后如发生丢失、灭失，乙方应按照税法规定和甲方要求及时提供发票存根联复印件及税务机关证明，拒不配合造成甲方损失的，由乙方承担赔偿责任。</w:t>
      </w:r>
    </w:p>
    <w:p w14:paraId="3DE0F623">
      <w:pPr>
        <w:spacing w:before="120" w:after="120" w:line="288" w:lineRule="auto"/>
        <w:ind w:left="0"/>
        <w:jc w:val="left"/>
        <w:rPr>
          <w:highlight w:val="none"/>
        </w:rPr>
      </w:pPr>
      <w:r>
        <w:rPr>
          <w:rFonts w:hint="eastAsia" w:ascii="Arial" w:hAnsi="Arial" w:eastAsia="等线" w:cs="Arial"/>
          <w:sz w:val="22"/>
          <w:highlight w:val="none"/>
          <w:lang w:val="en-US" w:eastAsia="zh-CN"/>
        </w:rPr>
        <w:t>9</w:t>
      </w:r>
      <w:r>
        <w:rPr>
          <w:rFonts w:ascii="Arial" w:hAnsi="Arial" w:eastAsia="等线" w:cs="Arial"/>
          <w:sz w:val="22"/>
          <w:highlight w:val="none"/>
        </w:rPr>
        <w:t>.2.5 涉及设备质量退货、合同变更等需要开具红字发票的，乙方须无条件配合甲方完成税务发票调整手续。</w:t>
      </w:r>
    </w:p>
    <w:p w14:paraId="2346BD32">
      <w:pPr>
        <w:spacing w:before="320" w:after="120" w:line="288" w:lineRule="auto"/>
        <w:ind w:left="0"/>
        <w:jc w:val="left"/>
        <w:outlineLvl w:val="1"/>
        <w:rPr>
          <w:highlight w:val="none"/>
        </w:rPr>
      </w:pPr>
      <w:bookmarkStart w:id="11" w:name="heading_13"/>
      <w:r>
        <w:rPr>
          <w:rFonts w:ascii="Arial" w:hAnsi="Arial" w:eastAsia="等线" w:cs="Arial"/>
          <w:b/>
          <w:sz w:val="32"/>
          <w:highlight w:val="none"/>
        </w:rPr>
        <w:t>第</w:t>
      </w:r>
      <w:r>
        <w:rPr>
          <w:rFonts w:hint="eastAsia" w:ascii="Arial" w:hAnsi="Arial" w:eastAsia="等线" w:cs="Arial"/>
          <w:b/>
          <w:sz w:val="32"/>
          <w:highlight w:val="none"/>
          <w:lang w:val="en-US" w:eastAsia="zh-CN"/>
        </w:rPr>
        <w:t>十</w:t>
      </w:r>
      <w:r>
        <w:rPr>
          <w:rFonts w:ascii="Arial" w:hAnsi="Arial" w:eastAsia="等线" w:cs="Arial"/>
          <w:b/>
          <w:sz w:val="32"/>
          <w:highlight w:val="none"/>
        </w:rPr>
        <w:t>条 甲方违约责任</w:t>
      </w:r>
      <w:bookmarkEnd w:id="11"/>
    </w:p>
    <w:p w14:paraId="651B1C10">
      <w:pPr>
        <w:spacing w:before="120" w:after="120" w:line="288" w:lineRule="auto"/>
        <w:ind w:left="0"/>
        <w:jc w:val="left"/>
        <w:rPr>
          <w:highlight w:val="none"/>
        </w:rPr>
      </w:pPr>
      <w:r>
        <w:rPr>
          <w:rFonts w:ascii="Arial" w:hAnsi="Arial" w:eastAsia="等线" w:cs="Arial"/>
          <w:sz w:val="22"/>
          <w:highlight w:val="none"/>
        </w:rPr>
        <w:t>甲方未按照本合同约定向乙方支付合同价款的（乙方未履行开票、履约等合同义务除外），且经乙方催告后</w:t>
      </w:r>
      <w:r>
        <w:rPr>
          <w:rFonts w:hint="eastAsia" w:ascii="Arial" w:hAnsi="Arial" w:eastAsia="等线" w:cs="Arial"/>
          <w:sz w:val="22"/>
          <w:highlight w:val="none"/>
          <w:lang w:val="en-US" w:eastAsia="zh-CN"/>
        </w:rPr>
        <w:t>60</w:t>
      </w:r>
      <w:r>
        <w:rPr>
          <w:rFonts w:ascii="Arial" w:hAnsi="Arial" w:eastAsia="等线" w:cs="Arial"/>
          <w:sz w:val="22"/>
          <w:highlight w:val="none"/>
        </w:rPr>
        <w:t>个工作日仍未支付的，甲方应向乙方支付违约金。违约金按合同订立时一年期贷款市场报价利率计算，计算基数以甲方</w:t>
      </w:r>
      <w:r>
        <w:rPr>
          <w:rFonts w:hint="eastAsia" w:ascii="Arial" w:hAnsi="Arial" w:eastAsia="等线" w:cs="Arial"/>
          <w:sz w:val="22"/>
          <w:highlight w:val="none"/>
          <w:lang w:val="en-US" w:eastAsia="zh-CN"/>
        </w:rPr>
        <w:t>应付未付款项</w:t>
      </w:r>
      <w:r>
        <w:rPr>
          <w:rFonts w:ascii="Arial" w:hAnsi="Arial" w:eastAsia="等线" w:cs="Arial"/>
          <w:sz w:val="22"/>
          <w:highlight w:val="none"/>
        </w:rPr>
        <w:t>为准，违约金最高不得超过未支付结算价款的1%，除此之外，甲方不再承担其他违约责任。</w:t>
      </w:r>
    </w:p>
    <w:p w14:paraId="7A0F0757">
      <w:pPr>
        <w:spacing w:before="320" w:after="120" w:line="288" w:lineRule="auto"/>
        <w:ind w:left="0"/>
        <w:jc w:val="left"/>
        <w:outlineLvl w:val="1"/>
        <w:rPr>
          <w:highlight w:val="none"/>
        </w:rPr>
      </w:pPr>
      <w:bookmarkStart w:id="12" w:name="heading_14"/>
      <w:r>
        <w:rPr>
          <w:rFonts w:ascii="Arial" w:hAnsi="Arial" w:eastAsia="等线" w:cs="Arial"/>
          <w:b/>
          <w:sz w:val="32"/>
          <w:highlight w:val="none"/>
        </w:rPr>
        <w:t>第十</w:t>
      </w:r>
      <w:r>
        <w:rPr>
          <w:rFonts w:hint="eastAsia" w:ascii="Arial" w:hAnsi="Arial" w:eastAsia="等线" w:cs="Arial"/>
          <w:b/>
          <w:sz w:val="32"/>
          <w:highlight w:val="none"/>
          <w:lang w:val="en-US" w:eastAsia="zh-CN"/>
        </w:rPr>
        <w:t>一</w:t>
      </w:r>
      <w:r>
        <w:rPr>
          <w:rFonts w:ascii="Arial" w:hAnsi="Arial" w:eastAsia="等线" w:cs="Arial"/>
          <w:b/>
          <w:sz w:val="32"/>
          <w:highlight w:val="none"/>
        </w:rPr>
        <w:t>条 乙方的违约责任</w:t>
      </w:r>
      <w:bookmarkEnd w:id="12"/>
    </w:p>
    <w:p w14:paraId="7F201B78">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.1 乙方未经甲方审核同意擅自开展深化设计、生产、进场安装</w:t>
      </w:r>
      <w:r>
        <w:rPr>
          <w:rFonts w:hint="eastAsia" w:ascii="Arial" w:hAnsi="Arial" w:eastAsia="等线" w:cs="Arial"/>
          <w:sz w:val="22"/>
          <w:highlight w:val="none"/>
          <w:lang w:val="en-US" w:eastAsia="zh-CN"/>
        </w:rPr>
        <w:t>的，</w:t>
      </w:r>
      <w:r>
        <w:rPr>
          <w:rFonts w:ascii="Arial" w:hAnsi="Arial" w:eastAsia="等线" w:cs="Arial"/>
          <w:sz w:val="22"/>
          <w:highlight w:val="none"/>
        </w:rPr>
        <w:t>向甲方偿付</w:t>
      </w:r>
      <w:r>
        <w:rPr>
          <w:rFonts w:hint="eastAsia" w:ascii="Arial" w:hAnsi="Arial" w:eastAsia="等线" w:cs="Arial"/>
          <w:sz w:val="22"/>
          <w:highlight w:val="none"/>
          <w:lang w:val="en-US" w:eastAsia="zh-CN"/>
        </w:rPr>
        <w:t>合同固定总价</w:t>
      </w:r>
      <w:r>
        <w:rPr>
          <w:rFonts w:ascii="Arial" w:hAnsi="Arial" w:eastAsia="等线" w:cs="Arial"/>
          <w:sz w:val="22"/>
          <w:highlight w:val="none"/>
        </w:rPr>
        <w:t>10％的违约金，且甲方有权单方解除合同。</w:t>
      </w:r>
    </w:p>
    <w:p w14:paraId="6812E07A">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.2 乙方所交设备、配件种类、型号、规格、技术参数、包装不符合</w:t>
      </w:r>
      <w:r>
        <w:rPr>
          <w:rFonts w:hint="eastAsia" w:ascii="Arial" w:hAnsi="Arial" w:eastAsia="等线" w:cs="Arial"/>
          <w:sz w:val="22"/>
          <w:highlight w:val="none"/>
          <w:lang w:val="en-US" w:eastAsia="zh-CN"/>
        </w:rPr>
        <w:t>合</w:t>
      </w:r>
      <w:r>
        <w:rPr>
          <w:rFonts w:ascii="Arial" w:hAnsi="Arial" w:eastAsia="等线" w:cs="Arial"/>
          <w:sz w:val="22"/>
          <w:highlight w:val="none"/>
        </w:rPr>
        <w:t>同约定的，甲方同意使用的可按质论价、扣减价款；甲方不同意使用的，乙方须无条件退货，并承担全部费用及甲方损失。乙方拒不整改的，甲方有权拒收、解除合同。</w:t>
      </w:r>
    </w:p>
    <w:p w14:paraId="5527A645">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.3 除本合同另有约定外，</w:t>
      </w:r>
      <w:r>
        <w:rPr>
          <w:rFonts w:hint="eastAsia" w:ascii="Arial" w:hAnsi="Arial" w:eastAsia="等线" w:cs="Arial"/>
          <w:sz w:val="22"/>
          <w:highlight w:val="none"/>
          <w:lang w:val="en-US" w:eastAsia="zh-CN"/>
        </w:rPr>
        <w:t>乙方</w:t>
      </w:r>
      <w:r>
        <w:rPr>
          <w:rFonts w:ascii="Arial" w:hAnsi="Arial" w:eastAsia="等线" w:cs="Arial"/>
          <w:sz w:val="22"/>
          <w:highlight w:val="none"/>
        </w:rPr>
        <w:t>逾期</w:t>
      </w:r>
      <w:r>
        <w:rPr>
          <w:rFonts w:hint="eastAsia" w:ascii="Arial" w:hAnsi="Arial" w:eastAsia="等线" w:cs="Arial"/>
          <w:sz w:val="22"/>
          <w:highlight w:val="none"/>
          <w:lang w:val="en-US" w:eastAsia="zh-CN"/>
        </w:rPr>
        <w:t>深化设计、</w:t>
      </w:r>
      <w:r>
        <w:rPr>
          <w:rFonts w:ascii="Arial" w:hAnsi="Arial" w:eastAsia="等线" w:cs="Arial"/>
          <w:sz w:val="22"/>
          <w:highlight w:val="none"/>
        </w:rPr>
        <w:t>交货、安装调试等合同义务的，每逾期一日，按合同固定总价0.5‰向甲方支付违约金，并赔偿甲方全部损失；逾期超过7日，甲方有权解除合同，乙方按1</w:t>
      </w:r>
      <w:r>
        <w:rPr>
          <w:rFonts w:hint="eastAsia" w:ascii="Arial" w:hAnsi="Arial" w:eastAsia="等线" w:cs="Arial"/>
          <w:sz w:val="22"/>
          <w:highlight w:val="none"/>
          <w:lang w:val="en-US" w:eastAsia="zh-CN"/>
        </w:rPr>
        <w:t>1</w:t>
      </w:r>
      <w:r>
        <w:rPr>
          <w:rFonts w:ascii="Arial" w:hAnsi="Arial" w:eastAsia="等线" w:cs="Arial"/>
          <w:sz w:val="22"/>
          <w:highlight w:val="none"/>
        </w:rPr>
        <w:t>.1款承担违约责任。</w:t>
      </w:r>
    </w:p>
    <w:p w14:paraId="41D5A88F">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.4 乙方提前交付货物造成甲方仓储、管理、人工等额外费用的，全部费用由乙方承担，甲方无需提前付款。</w:t>
      </w:r>
    </w:p>
    <w:p w14:paraId="03521E2E">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w:t>
      </w:r>
      <w:r>
        <w:rPr>
          <w:rFonts w:hint="eastAsia" w:ascii="Arial" w:hAnsi="Arial" w:eastAsia="等线" w:cs="Arial"/>
          <w:sz w:val="22"/>
          <w:highlight w:val="none"/>
          <w:lang w:val="en-US" w:eastAsia="zh-CN"/>
        </w:rPr>
        <w:t>5</w:t>
      </w:r>
      <w:r>
        <w:rPr>
          <w:rFonts w:ascii="Arial" w:hAnsi="Arial" w:eastAsia="等线" w:cs="Arial"/>
          <w:sz w:val="22"/>
          <w:highlight w:val="none"/>
        </w:rPr>
        <w:t xml:space="preserve"> 乙方未随车提供完整合格单证、技术资料的，甲方有权拒收设备，所有风险、损失、费用由乙方承担。</w:t>
      </w:r>
    </w:p>
    <w:p w14:paraId="3AC00885">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w:t>
      </w:r>
      <w:r>
        <w:rPr>
          <w:rFonts w:hint="eastAsia" w:ascii="Arial" w:hAnsi="Arial" w:eastAsia="等线" w:cs="Arial"/>
          <w:sz w:val="22"/>
          <w:highlight w:val="none"/>
          <w:lang w:val="en-US" w:eastAsia="zh-CN"/>
        </w:rPr>
        <w:t>6</w:t>
      </w:r>
      <w:r>
        <w:rPr>
          <w:rFonts w:ascii="Arial" w:hAnsi="Arial" w:eastAsia="等线" w:cs="Arial"/>
          <w:sz w:val="22"/>
          <w:highlight w:val="none"/>
        </w:rPr>
        <w:t xml:space="preserve"> 质保期内，乙方未按甲方要求及时维修、更换配件，或未遵守15分钟响应、12小时到场的售后约定的，乙方每次向甲方支付违约金5000元，甲方可优先从质保金中扣除；同时甲方有权委托第三方维修，产生的所有费用由乙方承担。因设备质量问题造成甲方停工、经济损失的，乙方另行全额赔偿。</w:t>
      </w:r>
    </w:p>
    <w:p w14:paraId="3EA55533">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w:t>
      </w:r>
      <w:r>
        <w:rPr>
          <w:rFonts w:hint="eastAsia" w:ascii="Arial" w:hAnsi="Arial" w:eastAsia="等线" w:cs="Arial"/>
          <w:sz w:val="22"/>
          <w:highlight w:val="none"/>
          <w:lang w:val="en-US" w:eastAsia="zh-CN"/>
        </w:rPr>
        <w:t>7</w:t>
      </w:r>
      <w:r>
        <w:rPr>
          <w:rFonts w:ascii="Arial" w:hAnsi="Arial" w:eastAsia="等线" w:cs="Arial"/>
          <w:sz w:val="22"/>
          <w:highlight w:val="none"/>
        </w:rPr>
        <w:t xml:space="preserve"> 乙方未能按甲方要求提供合规增值税专用发票的，甲方有权拒付对应货款；因发票逾期、不合规导致甲方无法抵扣税款的，乙方赔偿甲方等额税款损失，并按发票金额1%支付违约金。</w:t>
      </w:r>
    </w:p>
    <w:p w14:paraId="5C8B1191">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w:t>
      </w:r>
      <w:r>
        <w:rPr>
          <w:rFonts w:hint="eastAsia" w:ascii="Arial" w:hAnsi="Arial" w:eastAsia="等线" w:cs="Arial"/>
          <w:sz w:val="22"/>
          <w:highlight w:val="none"/>
          <w:lang w:val="en-US" w:eastAsia="zh-CN"/>
        </w:rPr>
        <w:t>8</w:t>
      </w:r>
      <w:r>
        <w:rPr>
          <w:rFonts w:ascii="Arial" w:hAnsi="Arial" w:eastAsia="等线" w:cs="Arial"/>
          <w:sz w:val="22"/>
          <w:highlight w:val="none"/>
        </w:rPr>
        <w:t xml:space="preserve"> 乙方提供虚假、虚开发票的，按发票金额1%支付违约金，承担甲方全部损失，甲方有权单方解除合同。</w:t>
      </w:r>
    </w:p>
    <w:p w14:paraId="3BE2CB54">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w:t>
      </w:r>
      <w:r>
        <w:rPr>
          <w:rFonts w:hint="eastAsia" w:ascii="Arial" w:hAnsi="Arial" w:eastAsia="等线" w:cs="Arial"/>
          <w:sz w:val="22"/>
          <w:highlight w:val="none"/>
          <w:lang w:val="en-US" w:eastAsia="zh-CN"/>
        </w:rPr>
        <w:t>9</w:t>
      </w:r>
      <w:r>
        <w:rPr>
          <w:rFonts w:ascii="Arial" w:hAnsi="Arial" w:eastAsia="等线" w:cs="Arial"/>
          <w:sz w:val="22"/>
          <w:highlight w:val="none"/>
        </w:rPr>
        <w:t xml:space="preserve"> 乙方保证设备质量合格、无权属及知识产权纠纷，因设备质量缺陷、侵权问题引发纠纷、索赔的，由乙方全权处理并承担全部经济、法律责任，甲方有权解除合同并索赔。</w:t>
      </w:r>
    </w:p>
    <w:p w14:paraId="51B058BE">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.1</w:t>
      </w:r>
      <w:r>
        <w:rPr>
          <w:rFonts w:hint="eastAsia" w:ascii="Arial" w:hAnsi="Arial" w:eastAsia="等线" w:cs="Arial"/>
          <w:sz w:val="22"/>
          <w:highlight w:val="none"/>
          <w:lang w:val="en-US" w:eastAsia="zh-CN"/>
        </w:rPr>
        <w:t>0</w:t>
      </w:r>
      <w:r>
        <w:rPr>
          <w:rFonts w:ascii="Arial" w:hAnsi="Arial" w:eastAsia="等线" w:cs="Arial"/>
          <w:sz w:val="22"/>
          <w:highlight w:val="none"/>
        </w:rPr>
        <w:t xml:space="preserve"> 乙方被甲方及关联企业列入限制交易、不合格、黑名单的，甲方可单方解除合同，全部后果由乙方承担。</w:t>
      </w:r>
    </w:p>
    <w:p w14:paraId="75F367B6">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.1</w:t>
      </w:r>
      <w:r>
        <w:rPr>
          <w:rFonts w:hint="eastAsia" w:ascii="Arial" w:hAnsi="Arial" w:eastAsia="等线" w:cs="Arial"/>
          <w:sz w:val="22"/>
          <w:highlight w:val="none"/>
          <w:lang w:val="en-US" w:eastAsia="zh-CN"/>
        </w:rPr>
        <w:t>1</w:t>
      </w:r>
      <w:r>
        <w:rPr>
          <w:rFonts w:ascii="Arial" w:hAnsi="Arial" w:eastAsia="等线" w:cs="Arial"/>
          <w:sz w:val="22"/>
          <w:highlight w:val="none"/>
        </w:rPr>
        <w:t xml:space="preserve"> 乙方违约金不足以弥补甲方实际损失（含律师费、诉讼费、保全费、鉴定费、第三方赔偿金、停工损失等）的，乙方予以补足；甲方有权从未付货款、质保金中直接抵扣所有违约金、赔偿金。</w:t>
      </w:r>
    </w:p>
    <w:p w14:paraId="43B6CC08">
      <w:pPr>
        <w:spacing w:before="320" w:after="120" w:line="288" w:lineRule="auto"/>
        <w:ind w:left="0"/>
        <w:jc w:val="left"/>
        <w:outlineLvl w:val="1"/>
        <w:rPr>
          <w:highlight w:val="none"/>
        </w:rPr>
      </w:pPr>
      <w:bookmarkStart w:id="13" w:name="heading_15"/>
      <w:r>
        <w:rPr>
          <w:rFonts w:ascii="Arial" w:hAnsi="Arial" w:eastAsia="等线" w:cs="Arial"/>
          <w:b/>
          <w:sz w:val="32"/>
          <w:highlight w:val="none"/>
        </w:rPr>
        <w:t>第十</w:t>
      </w:r>
      <w:r>
        <w:rPr>
          <w:rFonts w:hint="eastAsia" w:ascii="Arial" w:hAnsi="Arial" w:eastAsia="等线" w:cs="Arial"/>
          <w:b/>
          <w:sz w:val="32"/>
          <w:highlight w:val="none"/>
          <w:lang w:val="en-US" w:eastAsia="zh-CN"/>
        </w:rPr>
        <w:t>二</w:t>
      </w:r>
      <w:r>
        <w:rPr>
          <w:rFonts w:ascii="Arial" w:hAnsi="Arial" w:eastAsia="等线" w:cs="Arial"/>
          <w:b/>
          <w:sz w:val="32"/>
          <w:highlight w:val="none"/>
        </w:rPr>
        <w:t>条 不可抗力</w:t>
      </w:r>
      <w:bookmarkEnd w:id="13"/>
    </w:p>
    <w:p w14:paraId="31A7B9C1">
      <w:pPr>
        <w:spacing w:before="120" w:after="120" w:line="288" w:lineRule="auto"/>
        <w:ind w:left="0"/>
        <w:jc w:val="left"/>
        <w:rPr>
          <w:highlight w:val="none"/>
        </w:rPr>
      </w:pPr>
      <w:r>
        <w:rPr>
          <w:rFonts w:ascii="Arial" w:hAnsi="Arial" w:eastAsia="等线" w:cs="Arial"/>
          <w:sz w:val="22"/>
          <w:highlight w:val="none"/>
        </w:rPr>
        <w:t>不可抗力指战争、严重火灾、洪水、台风、地震、疫情、法律法规或政策调整、行政或司法行为等不可预见、不可避免、不可抗拒的事件。受不可抗力影响一方需在5日内书面通知对方，并采取措施减少损失，否则对扩大部分损失承担赔偿责任。双方可协商延期履约、签订补充协议或终止合同，互不追责。迟延履约后发生不可抗力的，不免除违约责任。</w:t>
      </w:r>
    </w:p>
    <w:p w14:paraId="52A67AF4">
      <w:pPr>
        <w:spacing w:before="320" w:after="120" w:line="288" w:lineRule="auto"/>
        <w:ind w:left="0"/>
        <w:jc w:val="left"/>
        <w:outlineLvl w:val="1"/>
        <w:rPr>
          <w:highlight w:val="none"/>
        </w:rPr>
      </w:pPr>
      <w:bookmarkStart w:id="14" w:name="heading_16"/>
      <w:r>
        <w:rPr>
          <w:rFonts w:ascii="Arial" w:hAnsi="Arial" w:eastAsia="等线" w:cs="Arial"/>
          <w:b/>
          <w:sz w:val="32"/>
          <w:highlight w:val="none"/>
        </w:rPr>
        <w:t>第十</w:t>
      </w:r>
      <w:r>
        <w:rPr>
          <w:rFonts w:hint="eastAsia" w:ascii="Arial" w:hAnsi="Arial" w:eastAsia="等线" w:cs="Arial"/>
          <w:b/>
          <w:sz w:val="32"/>
          <w:highlight w:val="none"/>
          <w:lang w:val="en-US" w:eastAsia="zh-CN"/>
        </w:rPr>
        <w:t>三</w:t>
      </w:r>
      <w:r>
        <w:rPr>
          <w:rFonts w:ascii="Arial" w:hAnsi="Arial" w:eastAsia="等线" w:cs="Arial"/>
          <w:b/>
          <w:sz w:val="32"/>
          <w:highlight w:val="none"/>
        </w:rPr>
        <w:t>条 争议解决</w:t>
      </w:r>
      <w:bookmarkEnd w:id="14"/>
    </w:p>
    <w:p w14:paraId="4CAA6EE7">
      <w:pPr>
        <w:spacing w:before="120" w:after="120" w:line="288" w:lineRule="auto"/>
        <w:ind w:left="0"/>
        <w:jc w:val="left"/>
        <w:rPr>
          <w:highlight w:val="none"/>
        </w:rPr>
      </w:pPr>
      <w:r>
        <w:rPr>
          <w:rFonts w:ascii="Arial" w:hAnsi="Arial" w:eastAsia="等线" w:cs="Arial"/>
          <w:sz w:val="22"/>
          <w:highlight w:val="none"/>
        </w:rPr>
        <w:t>甲乙双方履约发生争议，优先友好协商解决；协商不成的，提交</w:t>
      </w:r>
      <w:r>
        <w:rPr>
          <w:rFonts w:ascii="Arial" w:hAnsi="Arial" w:eastAsia="等线" w:cs="Arial"/>
          <w:b/>
          <w:sz w:val="22"/>
          <w:highlight w:val="none"/>
        </w:rPr>
        <w:t>佛山市顺德区人民法院</w:t>
      </w:r>
      <w:r>
        <w:rPr>
          <w:rFonts w:ascii="Arial" w:hAnsi="Arial" w:eastAsia="等线" w:cs="Arial"/>
          <w:sz w:val="22"/>
          <w:highlight w:val="none"/>
        </w:rPr>
        <w:t>诉讼解决。</w:t>
      </w:r>
    </w:p>
    <w:p w14:paraId="06C8B1F5">
      <w:pPr>
        <w:spacing w:before="320" w:after="120" w:line="288" w:lineRule="auto"/>
        <w:ind w:left="0"/>
        <w:jc w:val="left"/>
        <w:outlineLvl w:val="1"/>
        <w:rPr>
          <w:highlight w:val="none"/>
        </w:rPr>
      </w:pPr>
      <w:bookmarkStart w:id="15" w:name="heading_17"/>
      <w:r>
        <w:rPr>
          <w:rFonts w:ascii="Arial" w:hAnsi="Arial" w:eastAsia="等线" w:cs="Arial"/>
          <w:b/>
          <w:sz w:val="32"/>
          <w:highlight w:val="none"/>
        </w:rPr>
        <w:t>第十</w:t>
      </w:r>
      <w:r>
        <w:rPr>
          <w:rFonts w:hint="eastAsia" w:ascii="Arial" w:hAnsi="Arial" w:eastAsia="等线" w:cs="Arial"/>
          <w:b/>
          <w:sz w:val="32"/>
          <w:highlight w:val="none"/>
          <w:lang w:val="en-US" w:eastAsia="zh-CN"/>
        </w:rPr>
        <w:t>四</w:t>
      </w:r>
      <w:r>
        <w:rPr>
          <w:rFonts w:ascii="Arial" w:hAnsi="Arial" w:eastAsia="等线" w:cs="Arial"/>
          <w:b/>
          <w:sz w:val="32"/>
          <w:highlight w:val="none"/>
        </w:rPr>
        <w:t>条 廉政条款</w:t>
      </w:r>
      <w:bookmarkEnd w:id="15"/>
    </w:p>
    <w:p w14:paraId="4FD6786C">
      <w:pPr>
        <w:spacing w:before="120" w:after="120" w:line="288" w:lineRule="auto"/>
        <w:ind w:left="0"/>
        <w:jc w:val="left"/>
        <w:rPr>
          <w:highlight w:val="none"/>
        </w:rPr>
      </w:pPr>
      <w:r>
        <w:rPr>
          <w:rFonts w:ascii="Arial" w:hAnsi="Arial" w:eastAsia="等线" w:cs="Arial"/>
          <w:sz w:val="22"/>
          <w:highlight w:val="none"/>
        </w:rPr>
        <w:t>乙方承诺：乙方及其工作人员不向甲方工作人员赠送礼金、礼品、有价证券、购物卡及其他有价物品，不邀请甲方工作人员吃喝游玩及其他娱乐消费，不提供工作外便利及不正当利益，合同履约不弄虚作假。若乙方违反本承诺并经查实，视为严重违约，乙方需承担合同暂定总价10%的违约金，所有不当利益及违约金直接从结算款中扣除。甲方工作人员索贿的，乙方应及时向甲方纪检部门、上级单位或司法机关检举。</w:t>
      </w:r>
    </w:p>
    <w:p w14:paraId="5A391234">
      <w:pPr>
        <w:spacing w:before="320" w:after="120" w:line="288" w:lineRule="auto"/>
        <w:ind w:left="0"/>
        <w:jc w:val="left"/>
        <w:outlineLvl w:val="1"/>
        <w:rPr>
          <w:highlight w:val="none"/>
        </w:rPr>
      </w:pPr>
      <w:bookmarkStart w:id="16" w:name="heading_18"/>
      <w:r>
        <w:rPr>
          <w:rFonts w:ascii="Arial" w:hAnsi="Arial" w:eastAsia="等线" w:cs="Arial"/>
          <w:b/>
          <w:sz w:val="32"/>
          <w:highlight w:val="none"/>
        </w:rPr>
        <w:t>第十</w:t>
      </w:r>
      <w:r>
        <w:rPr>
          <w:rFonts w:hint="eastAsia" w:ascii="Arial" w:hAnsi="Arial" w:eastAsia="等线" w:cs="Arial"/>
          <w:b/>
          <w:sz w:val="32"/>
          <w:highlight w:val="none"/>
          <w:lang w:val="en-US" w:eastAsia="zh-CN"/>
        </w:rPr>
        <w:t>五</w:t>
      </w:r>
      <w:r>
        <w:rPr>
          <w:rFonts w:ascii="Arial" w:hAnsi="Arial" w:eastAsia="等线" w:cs="Arial"/>
          <w:b/>
          <w:sz w:val="32"/>
          <w:highlight w:val="none"/>
        </w:rPr>
        <w:t>条 保密条款</w:t>
      </w:r>
      <w:bookmarkEnd w:id="16"/>
    </w:p>
    <w:p w14:paraId="28519C34">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5</w:t>
      </w:r>
      <w:r>
        <w:rPr>
          <w:rFonts w:ascii="Arial" w:hAnsi="Arial" w:eastAsia="等线" w:cs="Arial"/>
          <w:sz w:val="22"/>
          <w:highlight w:val="none"/>
        </w:rPr>
        <w:t>.1 乙方对接触到的甲方项目信息、财务信息、合同资料、施工数据等商业信息及隐私严格保密，未经甲方书面同意不得泄露、不得对外使用，否则甲方有权解除合同并要求乙方赔偿全部损失。</w:t>
      </w:r>
    </w:p>
    <w:p w14:paraId="18DE341C">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5</w:t>
      </w:r>
      <w:r>
        <w:rPr>
          <w:rFonts w:ascii="Arial" w:hAnsi="Arial" w:eastAsia="等线" w:cs="Arial"/>
          <w:sz w:val="22"/>
          <w:highlight w:val="none"/>
        </w:rPr>
        <w:t>.2 双方均有义务保护对方非公开资料，仅限履约必要范围内使用，泄密造成损失的由泄密方全额赔偿。</w:t>
      </w:r>
    </w:p>
    <w:p w14:paraId="0425D661">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5</w:t>
      </w:r>
      <w:r>
        <w:rPr>
          <w:rFonts w:ascii="Arial" w:hAnsi="Arial" w:eastAsia="等线" w:cs="Arial"/>
          <w:sz w:val="22"/>
          <w:highlight w:val="none"/>
        </w:rPr>
        <w:t>.3 本合同变更、解除、终止后，双方保密义务持续有效。</w:t>
      </w:r>
    </w:p>
    <w:p w14:paraId="0F00CBE8">
      <w:pPr>
        <w:spacing w:before="320" w:after="120" w:line="288" w:lineRule="auto"/>
        <w:ind w:left="0"/>
        <w:jc w:val="left"/>
        <w:outlineLvl w:val="1"/>
        <w:rPr>
          <w:highlight w:val="none"/>
        </w:rPr>
      </w:pPr>
      <w:bookmarkStart w:id="17" w:name="heading_19"/>
      <w:r>
        <w:rPr>
          <w:rFonts w:ascii="Arial" w:hAnsi="Arial" w:eastAsia="等线" w:cs="Arial"/>
          <w:b/>
          <w:sz w:val="32"/>
          <w:highlight w:val="none"/>
        </w:rPr>
        <w:t>第十</w:t>
      </w:r>
      <w:r>
        <w:rPr>
          <w:rFonts w:hint="eastAsia" w:ascii="Arial" w:hAnsi="Arial" w:eastAsia="等线" w:cs="Arial"/>
          <w:b/>
          <w:sz w:val="32"/>
          <w:highlight w:val="none"/>
          <w:lang w:val="en-US" w:eastAsia="zh-CN"/>
        </w:rPr>
        <w:t>六</w:t>
      </w:r>
      <w:r>
        <w:rPr>
          <w:rFonts w:ascii="Arial" w:hAnsi="Arial" w:eastAsia="等线" w:cs="Arial"/>
          <w:b/>
          <w:sz w:val="32"/>
          <w:highlight w:val="none"/>
        </w:rPr>
        <w:t>条 其它事项</w:t>
      </w:r>
      <w:bookmarkEnd w:id="17"/>
    </w:p>
    <w:p w14:paraId="29206DD7">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6</w:t>
      </w:r>
      <w:r>
        <w:rPr>
          <w:rFonts w:ascii="Arial" w:hAnsi="Arial" w:eastAsia="等线" w:cs="Arial"/>
          <w:sz w:val="22"/>
          <w:highlight w:val="none"/>
        </w:rPr>
        <w:t>.1 本合同权利义务，未经甲方书面同意，乙方不得转让、质押、担保，擅自转让或担保的行为无效，甲方有权解除合同并索赔。</w:t>
      </w:r>
    </w:p>
    <w:p w14:paraId="690526F0">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6</w:t>
      </w:r>
      <w:r>
        <w:rPr>
          <w:rFonts w:ascii="Arial" w:hAnsi="Arial" w:eastAsia="等线" w:cs="Arial"/>
          <w:sz w:val="22"/>
          <w:highlight w:val="none"/>
        </w:rPr>
        <w:t>.2 双方企业名称、税务、账户等重大信息变更的，需在7日内书面通知对方并提供证明资料</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如因乙方未能及时提供资料导致甲方延期付款的，不视为甲方违约。</w:t>
      </w:r>
    </w:p>
    <w:p w14:paraId="3A1F77BB">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6</w:t>
      </w:r>
      <w:r>
        <w:rPr>
          <w:rFonts w:ascii="Arial" w:hAnsi="Arial" w:eastAsia="等线" w:cs="Arial"/>
          <w:sz w:val="22"/>
          <w:highlight w:val="none"/>
        </w:rPr>
        <w:t>.3 双方确认本合同预留地址为所有通知、函件、法律文书的唯一有效送达地址，变更地址需提前书面告知，否则原地址送达有效。</w:t>
      </w:r>
    </w:p>
    <w:p w14:paraId="6AA47B11">
      <w:pPr>
        <w:spacing w:before="120" w:after="120" w:line="288" w:lineRule="auto"/>
        <w:ind w:left="0"/>
        <w:jc w:val="left"/>
        <w:rPr>
          <w:highlight w:val="none"/>
        </w:rPr>
      </w:pPr>
      <w:r>
        <w:rPr>
          <w:rFonts w:ascii="Arial" w:hAnsi="Arial" w:eastAsia="等线" w:cs="Arial"/>
          <w:b/>
          <w:sz w:val="22"/>
          <w:highlight w:val="none"/>
        </w:rPr>
        <w:t>甲方送达地址：</w:t>
      </w:r>
      <w:r>
        <w:rPr>
          <w:rFonts w:ascii="Arial" w:hAnsi="Arial" w:eastAsia="等线" w:cs="Arial"/>
          <w:sz w:val="22"/>
          <w:highlight w:val="none"/>
        </w:rPr>
        <w:t>__________ 联系人：__________ 联系电话：__________</w:t>
      </w:r>
    </w:p>
    <w:p w14:paraId="220A4952">
      <w:pPr>
        <w:spacing w:before="120" w:after="120" w:line="288" w:lineRule="auto"/>
        <w:ind w:left="0"/>
        <w:jc w:val="left"/>
        <w:rPr>
          <w:highlight w:val="none"/>
        </w:rPr>
      </w:pPr>
      <w:r>
        <w:rPr>
          <w:rFonts w:ascii="Arial" w:hAnsi="Arial" w:eastAsia="等线" w:cs="Arial"/>
          <w:b/>
          <w:sz w:val="22"/>
          <w:highlight w:val="none"/>
        </w:rPr>
        <w:t>乙方送达地址：</w:t>
      </w:r>
      <w:r>
        <w:rPr>
          <w:rFonts w:ascii="Arial" w:hAnsi="Arial" w:eastAsia="等线" w:cs="Arial"/>
          <w:sz w:val="22"/>
          <w:highlight w:val="none"/>
        </w:rPr>
        <w:t>__________ 联系人：__________ 联系电话：__________</w:t>
      </w:r>
    </w:p>
    <w:p w14:paraId="5E601761">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6</w:t>
      </w:r>
      <w:r>
        <w:rPr>
          <w:rFonts w:ascii="Arial" w:hAnsi="Arial" w:eastAsia="等线" w:cs="Arial"/>
          <w:sz w:val="22"/>
          <w:highlight w:val="none"/>
        </w:rPr>
        <w:t>.4 合同未尽事宜，双方协商签订补充协议，补充协议与本合同具有同等法律效力，约定不一致的以补充协议为准。</w:t>
      </w:r>
    </w:p>
    <w:p w14:paraId="5A259DA4">
      <w:pPr>
        <w:spacing w:before="120" w:after="120" w:line="288" w:lineRule="auto"/>
        <w:ind w:left="0"/>
        <w:jc w:val="left"/>
        <w:rPr>
          <w:highlight w:val="none"/>
        </w:rPr>
      </w:pPr>
      <w:r>
        <w:rPr>
          <w:rFonts w:ascii="Arial" w:hAnsi="Arial" w:eastAsia="等线" w:cs="Arial"/>
          <w:sz w:val="22"/>
          <w:highlight w:val="none"/>
        </w:rPr>
        <w:t>1</w:t>
      </w:r>
      <w:r>
        <w:rPr>
          <w:rFonts w:hint="eastAsia" w:ascii="Arial" w:hAnsi="Arial" w:eastAsia="等线" w:cs="Arial"/>
          <w:sz w:val="22"/>
          <w:highlight w:val="none"/>
          <w:lang w:val="en-US" w:eastAsia="zh-CN"/>
        </w:rPr>
        <w:t>6</w:t>
      </w:r>
      <w:r>
        <w:rPr>
          <w:rFonts w:ascii="Arial" w:hAnsi="Arial" w:eastAsia="等线" w:cs="Arial"/>
          <w:sz w:val="22"/>
          <w:highlight w:val="none"/>
        </w:rPr>
        <w:t>.5 本合同自双方法定代表人或委托代理人签字、加盖单位公章之日起生效。本合同一式肆份，甲乙双方各执贰份，具有同等法律效力。</w:t>
      </w:r>
    </w:p>
    <w:p w14:paraId="36F916EB">
      <w:pPr>
        <w:spacing w:before="120" w:after="120" w:line="288" w:lineRule="auto"/>
        <w:ind w:left="0"/>
        <w:jc w:val="left"/>
        <w:rPr>
          <w:highlight w:val="none"/>
        </w:rPr>
      </w:pPr>
      <w:r>
        <w:rPr>
          <w:rFonts w:ascii="Arial" w:hAnsi="Arial" w:eastAsia="等线" w:cs="Arial"/>
          <w:sz w:val="22"/>
          <w:highlight w:val="none"/>
        </w:rPr>
        <w:t>（以下无正文）</w:t>
      </w:r>
    </w:p>
    <w:p w14:paraId="713962DD">
      <w:pPr>
        <w:spacing w:before="120" w:after="120" w:line="288" w:lineRule="auto"/>
        <w:ind w:left="0"/>
        <w:jc w:val="left"/>
        <w:rPr>
          <w:highlight w:val="none"/>
        </w:rPr>
      </w:pPr>
      <w:r>
        <w:rPr>
          <w:rFonts w:ascii="Arial" w:hAnsi="Arial" w:eastAsia="等线" w:cs="Arial"/>
          <w:b/>
          <w:sz w:val="22"/>
          <w:highlight w:val="none"/>
        </w:rPr>
        <w:t>甲方（盖章）：</w:t>
      </w:r>
    </w:p>
    <w:p w14:paraId="576D8860">
      <w:pPr>
        <w:spacing w:before="120" w:after="120" w:line="288" w:lineRule="auto"/>
        <w:ind w:left="0"/>
        <w:jc w:val="left"/>
        <w:rPr>
          <w:highlight w:val="none"/>
        </w:rPr>
      </w:pPr>
      <w:r>
        <w:rPr>
          <w:rFonts w:ascii="Arial" w:hAnsi="Arial" w:eastAsia="等线" w:cs="Arial"/>
          <w:sz w:val="22"/>
          <w:highlight w:val="none"/>
        </w:rPr>
        <w:t>法定代表人/委托代理人（签字）：</w:t>
      </w:r>
    </w:p>
    <w:p w14:paraId="07651D25">
      <w:pPr>
        <w:spacing w:before="120" w:after="120" w:line="288" w:lineRule="auto"/>
        <w:ind w:left="0"/>
        <w:jc w:val="left"/>
        <w:rPr>
          <w:highlight w:val="none"/>
        </w:rPr>
      </w:pPr>
      <w:r>
        <w:rPr>
          <w:rFonts w:ascii="Arial" w:hAnsi="Arial" w:eastAsia="等线" w:cs="Arial"/>
          <w:sz w:val="22"/>
          <w:highlight w:val="none"/>
        </w:rPr>
        <w:t>日期：______年____月____日</w:t>
      </w:r>
    </w:p>
    <w:p w14:paraId="2C42B12E">
      <w:pPr>
        <w:spacing w:before="120" w:after="120" w:line="288" w:lineRule="auto"/>
        <w:ind w:left="0"/>
        <w:jc w:val="left"/>
        <w:rPr>
          <w:highlight w:val="none"/>
        </w:rPr>
      </w:pPr>
      <w:r>
        <w:rPr>
          <w:rFonts w:ascii="Arial" w:hAnsi="Arial" w:eastAsia="等线" w:cs="Arial"/>
          <w:b/>
          <w:sz w:val="22"/>
          <w:highlight w:val="none"/>
        </w:rPr>
        <w:t>乙方（盖章）：</w:t>
      </w:r>
      <w:bookmarkStart w:id="18" w:name="_GoBack"/>
      <w:bookmarkEnd w:id="18"/>
    </w:p>
    <w:p w14:paraId="44D58EB3">
      <w:pPr>
        <w:spacing w:before="120" w:after="120" w:line="288" w:lineRule="auto"/>
        <w:ind w:left="0"/>
        <w:jc w:val="left"/>
        <w:rPr>
          <w:highlight w:val="none"/>
        </w:rPr>
      </w:pPr>
      <w:r>
        <w:rPr>
          <w:rFonts w:ascii="Arial" w:hAnsi="Arial" w:eastAsia="等线" w:cs="Arial"/>
          <w:sz w:val="22"/>
          <w:highlight w:val="none"/>
        </w:rPr>
        <w:t>法定代表人/委托代理人（签字）：</w:t>
      </w:r>
    </w:p>
    <w:p w14:paraId="3EEA2CE4">
      <w:pPr>
        <w:spacing w:before="120" w:after="120" w:line="288" w:lineRule="auto"/>
        <w:ind w:left="0"/>
        <w:jc w:val="left"/>
        <w:rPr>
          <w:rFonts w:ascii="Arial" w:hAnsi="Arial" w:eastAsia="等线" w:cs="Arial"/>
          <w:sz w:val="22"/>
          <w:highlight w:val="none"/>
        </w:rPr>
      </w:pPr>
      <w:r>
        <w:rPr>
          <w:rFonts w:ascii="Arial" w:hAnsi="Arial" w:eastAsia="等线" w:cs="Arial"/>
          <w:sz w:val="22"/>
          <w:highlight w:val="none"/>
        </w:rPr>
        <w:t>日期：______年____月____日</w:t>
      </w:r>
    </w:p>
    <w:p w14:paraId="4CDF6450">
      <w:pPr>
        <w:spacing w:before="0" w:after="0" w:line="240" w:lineRule="auto"/>
        <w:ind w:left="0"/>
        <w:jc w:val="left"/>
        <w:rPr>
          <w:highlight w:val="none"/>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47A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F9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12D5"/>
    <w:rsid w:val="03C5653F"/>
    <w:rsid w:val="05F332D1"/>
    <w:rsid w:val="06CA0DD5"/>
    <w:rsid w:val="0D1812A4"/>
    <w:rsid w:val="1849295E"/>
    <w:rsid w:val="32406E45"/>
    <w:rsid w:val="3439521C"/>
    <w:rsid w:val="3F1212A4"/>
    <w:rsid w:val="42D4269E"/>
    <w:rsid w:val="475C79A2"/>
    <w:rsid w:val="4F4A5A93"/>
    <w:rsid w:val="4FCD22A8"/>
    <w:rsid w:val="579159B8"/>
    <w:rsid w:val="599C37DA"/>
    <w:rsid w:val="5DB96942"/>
    <w:rsid w:val="60572D1E"/>
    <w:rsid w:val="64CC446C"/>
    <w:rsid w:val="65102366"/>
    <w:rsid w:val="694D2ED1"/>
    <w:rsid w:val="7B253B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8009</Words>
  <Characters>8409</Characters>
  <TotalTime>31</TotalTime>
  <ScaleCrop>false</ScaleCrop>
  <LinksUpToDate>false</LinksUpToDate>
  <CharactersWithSpaces>8497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2026-06-09T02:03:00Z</dcterms:created>
  <dc:creator>Apache POI</dc:creator>
  <cp:lastModifiedBy>admin</cp:lastModifiedBy>
  <dcterms:modified xsi:type="dcterms:W3CDTF">2026-06-18T09:51:13Z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{"Label":"1","ContentProducer":"001191110102MACQD9K64010000","ProduceID":"7649210633150417892","ReservedCode1":"","ContentPropagator":"","PropagateID":"","ReservedCode2":""}</vt:lpwstr>
  </property>
  <property fmtid="{D5CDD505-2E9C-101B-9397-08002B2CF9AE}" pid="3" name="KSOProductBuildVer">
    <vt:lpwstr>2052-12.1.0.26895</vt:lpwstr>
  </property>
  <property fmtid="{D5CDD505-2E9C-101B-9397-08002B2CF9AE}" pid="4" name="ICV">
    <vt:lpwstr>105EC41A7A6843DFAC7AC33906F94143_13</vt:lpwstr>
  </property>
  <property fmtid="{D5CDD505-2E9C-101B-9397-08002B2CF9AE}" pid="5" name="KSOTemplateDocerSaveRecord">
    <vt:lpwstr>eyJoZGlkIjoiYzk0NWQyMmJiZjlhY2ZkYjllNjAxN2MyNjYyYmFkZGUiLCJ1c2VySWQiOiIzNDQ4Mjc5MjMifQ==</vt:lpwstr>
  </property>
</Properties>
</file>