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1BA79">
      <w:pPr>
        <w:jc w:val="center"/>
        <w:rPr>
          <w:rFonts w:hint="eastAsia" w:ascii="方正小标宋简体" w:hAnsi="方正小标宋简体" w:eastAsia="方正小标宋简体" w:cs="方正小标宋简体"/>
          <w:b w:val="0"/>
          <w:bCs/>
          <w:color w:val="auto"/>
          <w:kern w:val="1"/>
          <w:sz w:val="36"/>
          <w:szCs w:val="36"/>
          <w:highlight w:val="none"/>
          <w:shd w:val="clear" w:color="auto" w:fill="FFFFFF"/>
          <w:lang w:val="en-US" w:eastAsia="zh-CN"/>
        </w:rPr>
      </w:pPr>
      <w:r>
        <w:rPr>
          <w:rFonts w:hint="eastAsia" w:ascii="方正小标宋简体" w:hAnsi="方正小标宋简体" w:eastAsia="方正小标宋简体" w:cs="方正小标宋简体"/>
          <w:b w:val="0"/>
          <w:bCs/>
          <w:color w:val="auto"/>
          <w:kern w:val="1"/>
          <w:sz w:val="36"/>
          <w:szCs w:val="36"/>
          <w:highlight w:val="none"/>
          <w:shd w:val="clear" w:color="auto" w:fill="FFFFFF"/>
          <w:lang w:val="en-US" w:eastAsia="zh-CN"/>
        </w:rPr>
        <w:t>竞租人须知</w:t>
      </w:r>
    </w:p>
    <w:p w14:paraId="32F6A5E4">
      <w:pPr>
        <w:widowControl/>
        <w:numPr>
          <w:ilvl w:val="0"/>
          <w:numId w:val="0"/>
        </w:numPr>
        <w:spacing w:line="500" w:lineRule="exact"/>
        <w:jc w:val="left"/>
        <w:rPr>
          <w:rFonts w:hint="default" w:ascii="仿宋" w:hAnsi="仿宋" w:eastAsia="仿宋" w:cs="仿宋"/>
          <w:sz w:val="28"/>
          <w:szCs w:val="28"/>
          <w:highlight w:val="none"/>
          <w:lang w:val="en-US" w:eastAsia="zh-CN"/>
        </w:rPr>
      </w:pPr>
    </w:p>
    <w:p w14:paraId="7B32192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2" w:firstLineChars="200"/>
        <w:jc w:val="left"/>
        <w:textAlignment w:val="baseline"/>
        <w:outlineLvl w:val="9"/>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一、招租活动说明</w:t>
      </w:r>
    </w:p>
    <w:p w14:paraId="644249D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（一）竞租人须详细阅读本项目的招租文件。</w:t>
      </w:r>
    </w:p>
    <w:p w14:paraId="5D44EA4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（二）本次是由佛山市顺博城市运营服务有限公司组织的招租活动，公告 文件中标的物的具体情况由管理人提供。竞租人须对标的物进行了解核实(包含但不限于向管理人了解、实地勘察、查阅相关资料等)。若竞租人在没有了解查看竞价标的物或查阅有关竞价资料等的前提下仍做出报价决定，竞租人自行承担其报价行为导致的一切风险和责任。</w:t>
      </w:r>
    </w:p>
    <w:p w14:paraId="5BD88C9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2"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二、对竞租人的资格要求：</w:t>
      </w:r>
      <w:r>
        <w:rPr>
          <w:rFonts w:hint="eastAsia" w:ascii="仿宋_GB2312" w:hAnsi="仿宋_GB2312" w:eastAsia="仿宋_GB2312" w:cs="仿宋_GB2312"/>
          <w:sz w:val="28"/>
          <w:szCs w:val="28"/>
          <w:lang w:val="en-US" w:eastAsia="zh-CN"/>
        </w:rPr>
        <w:t>见公开招租公告第二条。</w:t>
      </w:r>
    </w:p>
    <w:p w14:paraId="54B222D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2"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三、竞租人不得存在的情形：</w:t>
      </w:r>
      <w:r>
        <w:rPr>
          <w:rFonts w:hint="eastAsia" w:ascii="仿宋_GB2312" w:hAnsi="仿宋_GB2312" w:eastAsia="仿宋_GB2312" w:cs="仿宋_GB2312"/>
          <w:sz w:val="28"/>
          <w:szCs w:val="28"/>
          <w:lang w:val="en-US" w:eastAsia="zh-CN"/>
        </w:rPr>
        <w:t>见公开招租公告第三条第3款。</w:t>
      </w:r>
    </w:p>
    <w:p w14:paraId="4DB9EE7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2"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四、竞租一般规则</w:t>
      </w:r>
    </w:p>
    <w:tbl>
      <w:tblPr>
        <w:tblStyle w:val="5"/>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855"/>
        <w:gridCol w:w="1489"/>
        <w:gridCol w:w="6415"/>
      </w:tblGrid>
      <w:tr w14:paraId="6B85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05" w:type="dxa"/>
            <w:vMerge w:val="restart"/>
            <w:vAlign w:val="center"/>
          </w:tcPr>
          <w:p w14:paraId="22190BF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480" w:firstLineChars="200"/>
              <w:jc w:val="left"/>
              <w:textAlignment w:val="baseline"/>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准备及其响应</w:t>
            </w:r>
          </w:p>
        </w:tc>
        <w:tc>
          <w:tcPr>
            <w:tcW w:w="855" w:type="dxa"/>
            <w:vAlign w:val="center"/>
          </w:tcPr>
          <w:p w14:paraId="4793B13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baseline"/>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89" w:type="dxa"/>
            <w:vAlign w:val="center"/>
          </w:tcPr>
          <w:p w14:paraId="20298F8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baseline"/>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踏勘现场</w:t>
            </w:r>
          </w:p>
        </w:tc>
        <w:tc>
          <w:tcPr>
            <w:tcW w:w="6415" w:type="dxa"/>
            <w:vAlign w:val="center"/>
          </w:tcPr>
          <w:p w14:paraId="6BFE4BF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480" w:firstLineChars="200"/>
              <w:jc w:val="left"/>
              <w:textAlignment w:val="baseline"/>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0"/>
                <w:sz w:val="24"/>
                <w:szCs w:val="24"/>
                <w:highlight w:val="none"/>
                <w:lang w:val="en-US" w:eastAsia="zh-CN" w:bidi="ar"/>
              </w:rPr>
              <w:sym w:font="Wingdings" w:char="00FE"/>
            </w:r>
            <w:r>
              <w:rPr>
                <w:rFonts w:hint="eastAsia" w:ascii="仿宋_GB2312" w:hAnsi="仿宋_GB2312" w:eastAsia="仿宋_GB2312" w:cs="仿宋_GB2312"/>
                <w:sz w:val="24"/>
                <w:szCs w:val="24"/>
                <w:lang w:val="en-US" w:eastAsia="zh-CN"/>
              </w:rPr>
              <w:t>不组织。</w:t>
            </w:r>
          </w:p>
          <w:p w14:paraId="30556B7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480" w:firstLineChars="200"/>
              <w:jc w:val="left"/>
              <w:textAlignment w:val="baseline"/>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0"/>
                <w:sz w:val="24"/>
                <w:szCs w:val="24"/>
                <w:highlight w:val="none"/>
                <w:lang w:val="en-US" w:eastAsia="zh-CN" w:bidi="ar"/>
              </w:rPr>
              <w:sym w:font="Wingdings" w:char="00A8"/>
            </w:r>
            <w:r>
              <w:rPr>
                <w:rFonts w:hint="eastAsia" w:ascii="仿宋_GB2312" w:hAnsi="仿宋_GB2312" w:eastAsia="仿宋_GB2312" w:cs="仿宋_GB2312"/>
                <w:sz w:val="24"/>
                <w:szCs w:val="24"/>
                <w:lang w:val="en-US" w:eastAsia="zh-CN"/>
              </w:rPr>
              <w:t xml:space="preserve">组织：①踏勘时间：北京时间    年  月  日  午  时  分②踏勘集中地点：                                      </w:t>
            </w:r>
          </w:p>
        </w:tc>
      </w:tr>
      <w:tr w14:paraId="5667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05" w:type="dxa"/>
            <w:vMerge w:val="continue"/>
          </w:tcPr>
          <w:p w14:paraId="60CBF6A4">
            <w:pPr>
              <w:rPr>
                <w:rFonts w:hint="eastAsia" w:ascii="仿宋_GB2312" w:hAnsi="仿宋_GB2312" w:eastAsia="仿宋_GB2312" w:cs="仿宋_GB2312"/>
                <w:sz w:val="24"/>
                <w:szCs w:val="24"/>
                <w:highlight w:val="none"/>
                <w:vertAlign w:val="baseline"/>
              </w:rPr>
            </w:pPr>
          </w:p>
        </w:tc>
        <w:tc>
          <w:tcPr>
            <w:tcW w:w="855" w:type="dxa"/>
            <w:vAlign w:val="center"/>
          </w:tcPr>
          <w:p w14:paraId="077F0325">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bidi="ar"/>
              </w:rPr>
              <w:t>2</w:t>
            </w:r>
          </w:p>
        </w:tc>
        <w:tc>
          <w:tcPr>
            <w:tcW w:w="1489" w:type="dxa"/>
            <w:vAlign w:val="center"/>
          </w:tcPr>
          <w:p w14:paraId="6E3C6517">
            <w:pPr>
              <w:pStyle w:val="2"/>
              <w:ind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lang w:eastAsia="zh-CN" w:bidi="ar"/>
              </w:rPr>
              <w:t>提交竞租报价文件</w:t>
            </w:r>
            <w:r>
              <w:rPr>
                <w:rFonts w:hint="eastAsia" w:ascii="仿宋_GB2312" w:hAnsi="仿宋_GB2312" w:eastAsia="仿宋_GB2312" w:cs="仿宋_GB2312"/>
                <w:color w:val="auto"/>
                <w:kern w:val="0"/>
                <w:sz w:val="24"/>
                <w:szCs w:val="24"/>
                <w:highlight w:val="none"/>
                <w:lang w:bidi="ar"/>
              </w:rPr>
              <w:t>时间</w:t>
            </w:r>
          </w:p>
        </w:tc>
        <w:tc>
          <w:tcPr>
            <w:tcW w:w="6415" w:type="dxa"/>
            <w:vAlign w:val="center"/>
          </w:tcPr>
          <w:p w14:paraId="701D8DC5">
            <w:pPr>
              <w:pStyle w:val="2"/>
              <w:ind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lang w:bidi="ar"/>
              </w:rPr>
              <w:t>见公开招租公告。</w:t>
            </w:r>
          </w:p>
        </w:tc>
      </w:tr>
      <w:tr w14:paraId="7939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1C75C60E">
            <w:pPr>
              <w:rPr>
                <w:rFonts w:hint="eastAsia" w:ascii="仿宋_GB2312" w:hAnsi="仿宋_GB2312" w:eastAsia="仿宋_GB2312" w:cs="仿宋_GB2312"/>
                <w:sz w:val="24"/>
                <w:szCs w:val="24"/>
                <w:highlight w:val="none"/>
                <w:vertAlign w:val="baseline"/>
              </w:rPr>
            </w:pPr>
          </w:p>
        </w:tc>
        <w:tc>
          <w:tcPr>
            <w:tcW w:w="855" w:type="dxa"/>
            <w:vAlign w:val="center"/>
          </w:tcPr>
          <w:p w14:paraId="4EC6B2B0">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val="en-US" w:eastAsia="zh-CN" w:bidi="ar"/>
              </w:rPr>
              <w:t>3</w:t>
            </w:r>
          </w:p>
        </w:tc>
        <w:tc>
          <w:tcPr>
            <w:tcW w:w="1489" w:type="dxa"/>
            <w:vAlign w:val="center"/>
          </w:tcPr>
          <w:p w14:paraId="6BE5CC5C">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eastAsia="zh-CN" w:bidi="ar"/>
              </w:rPr>
              <w:t>租金</w:t>
            </w:r>
            <w:r>
              <w:rPr>
                <w:rFonts w:hint="eastAsia" w:ascii="仿宋_GB2312" w:hAnsi="仿宋_GB2312" w:eastAsia="仿宋_GB2312" w:cs="仿宋_GB2312"/>
                <w:color w:val="auto"/>
                <w:kern w:val="0"/>
                <w:sz w:val="24"/>
                <w:szCs w:val="24"/>
                <w:highlight w:val="none"/>
                <w:lang w:bidi="ar"/>
              </w:rPr>
              <w:t>最</w:t>
            </w:r>
            <w:r>
              <w:rPr>
                <w:rFonts w:hint="eastAsia" w:ascii="仿宋_GB2312" w:hAnsi="仿宋_GB2312" w:eastAsia="仿宋_GB2312" w:cs="仿宋_GB2312"/>
                <w:color w:val="auto"/>
                <w:kern w:val="0"/>
                <w:sz w:val="24"/>
                <w:szCs w:val="24"/>
                <w:highlight w:val="none"/>
                <w:lang w:val="en-US" w:eastAsia="zh-CN" w:bidi="ar"/>
              </w:rPr>
              <w:t>低单价</w:t>
            </w:r>
          </w:p>
        </w:tc>
        <w:tc>
          <w:tcPr>
            <w:tcW w:w="6415" w:type="dxa"/>
            <w:vAlign w:val="center"/>
          </w:tcPr>
          <w:p w14:paraId="18E3B2E2">
            <w:pPr>
              <w:pStyle w:val="2"/>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sym w:font="Wingdings" w:char="00A8"/>
            </w:r>
            <w:r>
              <w:rPr>
                <w:rFonts w:hint="eastAsia" w:ascii="仿宋_GB2312" w:hAnsi="仿宋_GB2312" w:eastAsia="仿宋_GB2312" w:cs="仿宋_GB2312"/>
                <w:color w:val="auto"/>
                <w:kern w:val="0"/>
                <w:sz w:val="24"/>
                <w:szCs w:val="24"/>
                <w:highlight w:val="none"/>
                <w:lang w:bidi="ar"/>
              </w:rPr>
              <w:t>不设置。</w:t>
            </w:r>
          </w:p>
          <w:p w14:paraId="35E7DC6D">
            <w:pPr>
              <w:pStyle w:val="2"/>
              <w:ind w:firstLine="0" w:firstLineChars="0"/>
              <w:jc w:val="left"/>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color w:val="auto"/>
                <w:kern w:val="0"/>
                <w:sz w:val="24"/>
                <w:szCs w:val="24"/>
                <w:highlight w:val="none"/>
                <w:lang w:val="en-US" w:eastAsia="zh-CN" w:bidi="ar"/>
              </w:rPr>
              <w:sym w:font="Wingdings" w:char="00FE"/>
            </w:r>
            <w:r>
              <w:rPr>
                <w:rFonts w:hint="eastAsia" w:ascii="仿宋_GB2312" w:hAnsi="仿宋_GB2312" w:eastAsia="仿宋_GB2312" w:cs="仿宋_GB2312"/>
                <w:color w:val="auto"/>
                <w:kern w:val="0"/>
                <w:sz w:val="24"/>
                <w:szCs w:val="24"/>
                <w:highlight w:val="none"/>
                <w:lang w:bidi="ar"/>
              </w:rPr>
              <w:t>设置。</w:t>
            </w:r>
            <w:r>
              <w:rPr>
                <w:rFonts w:hint="eastAsia" w:ascii="仿宋_GB2312" w:hAnsi="仿宋_GB2312" w:eastAsia="仿宋_GB2312" w:cs="仿宋_GB2312"/>
                <w:b w:val="0"/>
                <w:kern w:val="2"/>
                <w:sz w:val="24"/>
                <w:szCs w:val="24"/>
                <w:highlight w:val="none"/>
                <w:lang w:val="en-US" w:eastAsia="zh-CN" w:bidi="ar-SA"/>
              </w:rPr>
              <w:t>见</w:t>
            </w:r>
            <w:r>
              <w:rPr>
                <w:rFonts w:hint="eastAsia" w:ascii="仿宋_GB2312" w:hAnsi="仿宋_GB2312" w:eastAsia="仿宋_GB2312" w:cs="仿宋_GB2312"/>
                <w:color w:val="auto"/>
                <w:kern w:val="0"/>
                <w:sz w:val="24"/>
                <w:szCs w:val="24"/>
                <w:highlight w:val="none"/>
                <w:lang w:bidi="ar"/>
              </w:rPr>
              <w:t>公开招租</w:t>
            </w:r>
            <w:r>
              <w:rPr>
                <w:rFonts w:hint="eastAsia" w:ascii="仿宋_GB2312" w:hAnsi="仿宋_GB2312" w:eastAsia="仿宋_GB2312" w:cs="仿宋_GB2312"/>
                <w:color w:val="auto"/>
                <w:kern w:val="0"/>
                <w:sz w:val="24"/>
                <w:szCs w:val="24"/>
                <w:highlight w:val="none"/>
                <w:lang w:eastAsia="zh-CN" w:bidi="ar"/>
              </w:rPr>
              <w:t>公</w:t>
            </w:r>
            <w:r>
              <w:rPr>
                <w:rFonts w:hint="eastAsia" w:ascii="仿宋_GB2312" w:hAnsi="仿宋_GB2312" w:eastAsia="仿宋_GB2312" w:cs="仿宋_GB2312"/>
                <w:color w:val="auto"/>
                <w:kern w:val="0"/>
                <w:sz w:val="24"/>
                <w:szCs w:val="24"/>
                <w:highlight w:val="none"/>
                <w:lang w:val="en-US" w:eastAsia="zh-CN" w:bidi="ar"/>
              </w:rPr>
              <w:t>告第一条</w:t>
            </w:r>
          </w:p>
        </w:tc>
      </w:tr>
      <w:tr w14:paraId="3417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60C77C85">
            <w:pPr>
              <w:rPr>
                <w:rFonts w:hint="eastAsia" w:ascii="仿宋_GB2312" w:hAnsi="仿宋_GB2312" w:eastAsia="仿宋_GB2312" w:cs="仿宋_GB2312"/>
                <w:sz w:val="24"/>
                <w:szCs w:val="24"/>
                <w:highlight w:val="none"/>
                <w:vertAlign w:val="baseline"/>
              </w:rPr>
            </w:pPr>
          </w:p>
        </w:tc>
        <w:tc>
          <w:tcPr>
            <w:tcW w:w="855" w:type="dxa"/>
            <w:vAlign w:val="center"/>
          </w:tcPr>
          <w:p w14:paraId="6CA88DBA">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val="en-US" w:eastAsia="zh-CN" w:bidi="ar"/>
              </w:rPr>
              <w:t>4</w:t>
            </w:r>
          </w:p>
        </w:tc>
        <w:tc>
          <w:tcPr>
            <w:tcW w:w="1489" w:type="dxa"/>
            <w:vAlign w:val="center"/>
          </w:tcPr>
          <w:p w14:paraId="312E3506">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eastAsia="zh-CN" w:bidi="ar"/>
              </w:rPr>
              <w:t>竞租报价文件</w:t>
            </w:r>
            <w:r>
              <w:rPr>
                <w:rFonts w:hint="eastAsia" w:ascii="仿宋_GB2312" w:hAnsi="仿宋_GB2312" w:eastAsia="仿宋_GB2312" w:cs="仿宋_GB2312"/>
                <w:color w:val="auto"/>
                <w:kern w:val="0"/>
                <w:sz w:val="24"/>
                <w:szCs w:val="24"/>
                <w:highlight w:val="none"/>
                <w:lang w:bidi="ar"/>
              </w:rPr>
              <w:t>有效期</w:t>
            </w:r>
          </w:p>
        </w:tc>
        <w:tc>
          <w:tcPr>
            <w:tcW w:w="6415" w:type="dxa"/>
            <w:vAlign w:val="center"/>
          </w:tcPr>
          <w:p w14:paraId="53F084F9">
            <w:pPr>
              <w:pStyle w:val="2"/>
              <w:ind w:firstLine="0" w:firstLineChars="0"/>
              <w:jc w:val="left"/>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u w:val="single"/>
                <w:lang w:bidi="ar"/>
              </w:rPr>
              <w:t xml:space="preserve"> </w:t>
            </w:r>
            <w:r>
              <w:rPr>
                <w:rFonts w:hint="eastAsia" w:ascii="仿宋_GB2312" w:hAnsi="仿宋_GB2312" w:eastAsia="仿宋_GB2312" w:cs="仿宋_GB2312"/>
                <w:color w:val="auto"/>
                <w:kern w:val="0"/>
                <w:sz w:val="24"/>
                <w:szCs w:val="24"/>
                <w:highlight w:val="none"/>
                <w:u w:val="single"/>
                <w:lang w:val="en-US" w:eastAsia="zh-CN" w:bidi="ar"/>
              </w:rPr>
              <w:t xml:space="preserve"> 90</w:t>
            </w:r>
            <w:r>
              <w:rPr>
                <w:rFonts w:hint="eastAsia" w:ascii="仿宋_GB2312" w:hAnsi="仿宋_GB2312" w:eastAsia="仿宋_GB2312" w:cs="仿宋_GB2312"/>
                <w:color w:val="auto"/>
                <w:kern w:val="0"/>
                <w:sz w:val="24"/>
                <w:szCs w:val="24"/>
                <w:highlight w:val="none"/>
                <w:u w:val="single"/>
                <w:lang w:bidi="ar"/>
              </w:rPr>
              <w:t xml:space="preserve">  </w:t>
            </w:r>
            <w:r>
              <w:rPr>
                <w:rFonts w:hint="eastAsia" w:ascii="仿宋_GB2312" w:hAnsi="仿宋_GB2312" w:eastAsia="仿宋_GB2312" w:cs="仿宋_GB2312"/>
                <w:color w:val="auto"/>
                <w:kern w:val="0"/>
                <w:sz w:val="24"/>
                <w:szCs w:val="24"/>
                <w:highlight w:val="none"/>
                <w:lang w:bidi="ar"/>
              </w:rPr>
              <w:t>日历天（从</w:t>
            </w:r>
            <w:r>
              <w:rPr>
                <w:rFonts w:hint="eastAsia" w:ascii="仿宋_GB2312" w:hAnsi="仿宋_GB2312" w:eastAsia="仿宋_GB2312" w:cs="仿宋_GB2312"/>
                <w:color w:val="auto"/>
                <w:kern w:val="0"/>
                <w:sz w:val="24"/>
                <w:szCs w:val="24"/>
                <w:highlight w:val="none"/>
                <w:lang w:eastAsia="zh-CN" w:bidi="ar"/>
              </w:rPr>
              <w:t>竞租报价文件提交</w:t>
            </w:r>
            <w:r>
              <w:rPr>
                <w:rFonts w:hint="eastAsia" w:ascii="仿宋_GB2312" w:hAnsi="仿宋_GB2312" w:eastAsia="仿宋_GB2312" w:cs="仿宋_GB2312"/>
                <w:color w:val="auto"/>
                <w:kern w:val="0"/>
                <w:sz w:val="24"/>
                <w:szCs w:val="24"/>
                <w:highlight w:val="none"/>
                <w:lang w:bidi="ar"/>
              </w:rPr>
              <w:t>截止日算起）</w:t>
            </w:r>
          </w:p>
        </w:tc>
      </w:tr>
      <w:tr w14:paraId="7D9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1E2AB656">
            <w:pPr>
              <w:rPr>
                <w:rFonts w:hint="eastAsia" w:ascii="仿宋_GB2312" w:hAnsi="仿宋_GB2312" w:eastAsia="仿宋_GB2312" w:cs="仿宋_GB2312"/>
                <w:sz w:val="24"/>
                <w:szCs w:val="24"/>
                <w:highlight w:val="none"/>
                <w:vertAlign w:val="baseline"/>
              </w:rPr>
            </w:pPr>
          </w:p>
        </w:tc>
        <w:tc>
          <w:tcPr>
            <w:tcW w:w="855" w:type="dxa"/>
            <w:vAlign w:val="center"/>
          </w:tcPr>
          <w:p w14:paraId="49792CC5">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val="en-US" w:eastAsia="zh-CN" w:bidi="ar"/>
              </w:rPr>
              <w:t>5</w:t>
            </w:r>
          </w:p>
        </w:tc>
        <w:tc>
          <w:tcPr>
            <w:tcW w:w="1489" w:type="dxa"/>
            <w:vAlign w:val="center"/>
          </w:tcPr>
          <w:p w14:paraId="3DE67A10">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eastAsia="zh-CN" w:bidi="ar"/>
              </w:rPr>
              <w:t>交易</w:t>
            </w:r>
            <w:r>
              <w:rPr>
                <w:rFonts w:hint="eastAsia" w:ascii="仿宋_GB2312" w:hAnsi="仿宋_GB2312" w:eastAsia="仿宋_GB2312" w:cs="仿宋_GB2312"/>
                <w:color w:val="auto"/>
                <w:kern w:val="0"/>
                <w:sz w:val="24"/>
                <w:szCs w:val="24"/>
                <w:highlight w:val="none"/>
                <w:lang w:bidi="ar"/>
              </w:rPr>
              <w:t>保证金</w:t>
            </w:r>
          </w:p>
        </w:tc>
        <w:tc>
          <w:tcPr>
            <w:tcW w:w="6415" w:type="dxa"/>
            <w:vAlign w:val="center"/>
          </w:tcPr>
          <w:p w14:paraId="4B32122C">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sym w:font="Wingdings" w:char="00FE"/>
            </w:r>
            <w:r>
              <w:rPr>
                <w:rFonts w:hint="eastAsia" w:ascii="仿宋_GB2312" w:hAnsi="仿宋_GB2312" w:eastAsia="仿宋_GB2312" w:cs="仿宋_GB2312"/>
                <w:color w:val="auto"/>
                <w:kern w:val="0"/>
                <w:sz w:val="24"/>
                <w:szCs w:val="24"/>
                <w:highlight w:val="none"/>
                <w:lang w:val="en-US" w:eastAsia="zh-CN" w:bidi="ar"/>
              </w:rPr>
              <w:t>无须提交。</w:t>
            </w:r>
          </w:p>
          <w:p w14:paraId="7A07ACFC">
            <w:pPr>
              <w:pStyle w:val="2"/>
              <w:ind w:firstLine="0" w:firstLineChars="0"/>
              <w:jc w:val="left"/>
              <w:rPr>
                <w:rFonts w:hint="eastAsia" w:ascii="仿宋_GB2312" w:hAnsi="仿宋_GB2312" w:eastAsia="仿宋_GB2312" w:cs="仿宋_GB2312"/>
                <w:sz w:val="24"/>
                <w:szCs w:val="24"/>
                <w:highlight w:val="none"/>
                <w:vertAlign w:val="baseline"/>
                <w:lang w:val="en-US"/>
              </w:rPr>
            </w:pPr>
            <w:r>
              <w:rPr>
                <w:rFonts w:hint="eastAsia" w:ascii="仿宋_GB2312" w:hAnsi="仿宋_GB2312" w:eastAsia="仿宋_GB2312" w:cs="仿宋_GB2312"/>
                <w:color w:val="auto"/>
                <w:kern w:val="0"/>
                <w:sz w:val="24"/>
                <w:szCs w:val="24"/>
                <w:highlight w:val="none"/>
                <w:lang w:val="en-US" w:eastAsia="zh-CN" w:bidi="ar"/>
              </w:rPr>
              <w:sym w:font="Wingdings" w:char="00A8"/>
            </w:r>
            <w:r>
              <w:rPr>
                <w:rFonts w:hint="eastAsia" w:ascii="仿宋_GB2312" w:hAnsi="仿宋_GB2312" w:eastAsia="仿宋_GB2312" w:cs="仿宋_GB2312"/>
                <w:color w:val="auto"/>
                <w:kern w:val="0"/>
                <w:sz w:val="24"/>
                <w:szCs w:val="24"/>
                <w:highlight w:val="none"/>
                <w:lang w:val="en-US" w:eastAsia="zh-CN" w:bidi="ar"/>
              </w:rPr>
              <w:t>须提交：人民币</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元（大写</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整 ）。</w:t>
            </w:r>
          </w:p>
        </w:tc>
      </w:tr>
      <w:tr w14:paraId="0DB0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67F87D69">
            <w:pPr>
              <w:rPr>
                <w:rFonts w:hint="eastAsia" w:ascii="仿宋_GB2312" w:hAnsi="仿宋_GB2312" w:eastAsia="仿宋_GB2312" w:cs="仿宋_GB2312"/>
                <w:sz w:val="24"/>
                <w:szCs w:val="24"/>
                <w:highlight w:val="none"/>
                <w:vertAlign w:val="baseline"/>
              </w:rPr>
            </w:pPr>
          </w:p>
        </w:tc>
        <w:tc>
          <w:tcPr>
            <w:tcW w:w="855" w:type="dxa"/>
            <w:vAlign w:val="center"/>
          </w:tcPr>
          <w:p w14:paraId="0558C738">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val="en-US" w:eastAsia="zh-CN" w:bidi="ar"/>
              </w:rPr>
              <w:t>6</w:t>
            </w:r>
          </w:p>
        </w:tc>
        <w:tc>
          <w:tcPr>
            <w:tcW w:w="1489" w:type="dxa"/>
            <w:vAlign w:val="center"/>
          </w:tcPr>
          <w:p w14:paraId="2BD6B663">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val="en-US" w:eastAsia="zh-CN" w:bidi="ar"/>
              </w:rPr>
              <w:t>报价方式</w:t>
            </w:r>
          </w:p>
        </w:tc>
        <w:tc>
          <w:tcPr>
            <w:tcW w:w="6415" w:type="dxa"/>
            <w:vAlign w:val="center"/>
          </w:tcPr>
          <w:p w14:paraId="2BE9B8EA">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1.报价方式说明</w:t>
            </w:r>
          </w:p>
          <w:p w14:paraId="3E3C861E">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（1）本项目采用“一次竞价”进行报价，竞租人的报价必须等于或者大于本项目的</w:t>
            </w:r>
            <w:r>
              <w:rPr>
                <w:rFonts w:hint="eastAsia" w:ascii="仿宋_GB2312" w:hAnsi="仿宋_GB2312" w:eastAsia="仿宋_GB2312" w:cs="仿宋_GB2312"/>
                <w:color w:val="auto"/>
                <w:kern w:val="0"/>
                <w:sz w:val="24"/>
                <w:szCs w:val="24"/>
                <w:highlight w:val="none"/>
                <w:lang w:eastAsia="zh-CN" w:bidi="ar"/>
              </w:rPr>
              <w:t>租金</w:t>
            </w:r>
            <w:r>
              <w:rPr>
                <w:rFonts w:hint="eastAsia" w:ascii="仿宋_GB2312" w:hAnsi="仿宋_GB2312" w:eastAsia="仿宋_GB2312" w:cs="仿宋_GB2312"/>
                <w:color w:val="auto"/>
                <w:kern w:val="0"/>
                <w:sz w:val="24"/>
                <w:szCs w:val="24"/>
                <w:highlight w:val="none"/>
                <w:lang w:bidi="ar"/>
              </w:rPr>
              <w:t>最</w:t>
            </w:r>
            <w:r>
              <w:rPr>
                <w:rFonts w:hint="eastAsia" w:ascii="仿宋_GB2312" w:hAnsi="仿宋_GB2312" w:eastAsia="仿宋_GB2312" w:cs="仿宋_GB2312"/>
                <w:color w:val="auto"/>
                <w:kern w:val="0"/>
                <w:sz w:val="24"/>
                <w:szCs w:val="24"/>
                <w:highlight w:val="none"/>
                <w:lang w:val="en-US" w:eastAsia="zh-CN" w:bidi="ar"/>
              </w:rPr>
              <w:t>低单价，且加价幅度以1元的整数倍增加，否则其报价将被否决。</w:t>
            </w:r>
          </w:p>
          <w:p w14:paraId="193B6F97">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（2）报价应以人民币为结算单位，最终以实际项目结算为准。</w:t>
            </w:r>
          </w:p>
          <w:p w14:paraId="53794460">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（3）算术错误的修正：</w:t>
            </w:r>
          </w:p>
          <w:p w14:paraId="7055F782">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报价有算术错误的，按以下原则对报价进行修正，修正的价格经竞租人书面确认后具有约束力。竞租人不接受修正价格的，管理人应否决其响应：</w:t>
            </w:r>
          </w:p>
          <w:p w14:paraId="68BC65C9">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①报价文件中的大写金额与小写金额不一致的，以大写金额为准。</w:t>
            </w:r>
          </w:p>
          <w:p w14:paraId="2331C451">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②货币单位为人民币元。</w:t>
            </w:r>
          </w:p>
          <w:p w14:paraId="1EA10D36">
            <w:pPr>
              <w:pStyle w:val="2"/>
              <w:ind w:firstLine="0" w:firstLineChars="0"/>
              <w:jc w:val="left"/>
              <w:rPr>
                <w:rFonts w:hint="eastAsia" w:ascii="仿宋_GB2312" w:hAnsi="仿宋_GB2312" w:eastAsia="仿宋_GB2312" w:cs="仿宋_GB2312"/>
                <w:color w:val="auto"/>
                <w:kern w:val="0"/>
                <w:sz w:val="24"/>
                <w:szCs w:val="24"/>
                <w:highlight w:val="none"/>
                <w:lang w:val="en-US" w:bidi="ar"/>
              </w:rPr>
            </w:pPr>
            <w:r>
              <w:rPr>
                <w:rFonts w:hint="eastAsia" w:ascii="仿宋_GB2312" w:hAnsi="仿宋_GB2312" w:eastAsia="仿宋_GB2312" w:cs="仿宋_GB2312"/>
                <w:color w:val="auto"/>
                <w:kern w:val="0"/>
                <w:sz w:val="24"/>
                <w:szCs w:val="24"/>
                <w:highlight w:val="none"/>
                <w:lang w:val="en-US" w:eastAsia="zh-CN" w:bidi="ar"/>
              </w:rPr>
              <w:t>注：竞价人在参与项目报价时，应全面深入了解项目具体情况及当前市场行情，基于充分的市场调研与成本分析，合理且诚实地确定其报价。</w:t>
            </w:r>
          </w:p>
        </w:tc>
      </w:tr>
      <w:tr w14:paraId="340E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7287F847">
            <w:pPr>
              <w:rPr>
                <w:rFonts w:hint="eastAsia" w:ascii="仿宋_GB2312" w:hAnsi="仿宋_GB2312" w:eastAsia="仿宋_GB2312" w:cs="仿宋_GB2312"/>
                <w:sz w:val="24"/>
                <w:szCs w:val="24"/>
                <w:highlight w:val="none"/>
                <w:vertAlign w:val="baseline"/>
              </w:rPr>
            </w:pPr>
          </w:p>
        </w:tc>
        <w:tc>
          <w:tcPr>
            <w:tcW w:w="855" w:type="dxa"/>
            <w:vAlign w:val="center"/>
          </w:tcPr>
          <w:p w14:paraId="76FB808F">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val="en-US" w:eastAsia="zh-CN" w:bidi="ar"/>
              </w:rPr>
              <w:t>7</w:t>
            </w:r>
          </w:p>
        </w:tc>
        <w:tc>
          <w:tcPr>
            <w:tcW w:w="1489" w:type="dxa"/>
            <w:vAlign w:val="center"/>
          </w:tcPr>
          <w:p w14:paraId="069C2576">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eastAsia="zh-CN" w:bidi="ar"/>
              </w:rPr>
              <w:t>响应</w:t>
            </w:r>
            <w:r>
              <w:rPr>
                <w:rFonts w:hint="eastAsia" w:ascii="仿宋_GB2312" w:hAnsi="仿宋_GB2312" w:eastAsia="仿宋_GB2312" w:cs="仿宋_GB2312"/>
                <w:color w:val="auto"/>
                <w:kern w:val="0"/>
                <w:sz w:val="24"/>
                <w:szCs w:val="24"/>
                <w:highlight w:val="none"/>
                <w:lang w:bidi="ar"/>
              </w:rPr>
              <w:t>文件份数</w:t>
            </w:r>
          </w:p>
        </w:tc>
        <w:tc>
          <w:tcPr>
            <w:tcW w:w="6415" w:type="dxa"/>
            <w:vAlign w:val="center"/>
          </w:tcPr>
          <w:p w14:paraId="7396AC65">
            <w:pPr>
              <w:pStyle w:val="2"/>
              <w:ind w:firstLine="0" w:firstLineChars="0"/>
              <w:jc w:val="lef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sym w:font="Wingdings" w:char="00FE"/>
            </w:r>
            <w:r>
              <w:rPr>
                <w:rFonts w:hint="eastAsia" w:ascii="仿宋_GB2312" w:hAnsi="仿宋_GB2312" w:eastAsia="仿宋_GB2312" w:cs="仿宋_GB2312"/>
                <w:color w:val="auto"/>
                <w:kern w:val="0"/>
                <w:sz w:val="24"/>
                <w:szCs w:val="24"/>
                <w:highlight w:val="none"/>
                <w:lang w:bidi="ar"/>
              </w:rPr>
              <w:t xml:space="preserve">纸质文件 </w:t>
            </w: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 xml:space="preserve"> 份</w:t>
            </w:r>
            <w:r>
              <w:rPr>
                <w:rFonts w:hint="eastAsia" w:ascii="仿宋_GB2312" w:hAnsi="仿宋_GB2312" w:eastAsia="仿宋_GB2312" w:cs="仿宋_GB2312"/>
                <w:color w:val="auto"/>
                <w:kern w:val="0"/>
                <w:sz w:val="24"/>
                <w:szCs w:val="24"/>
                <w:highlight w:val="none"/>
                <w:lang w:eastAsia="zh-CN" w:bidi="ar"/>
              </w:rPr>
              <w:t>。</w:t>
            </w:r>
          </w:p>
        </w:tc>
      </w:tr>
      <w:tr w14:paraId="54EF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14:paraId="53FC4BDE">
            <w:pPr>
              <w:rPr>
                <w:rFonts w:hint="eastAsia" w:ascii="仿宋_GB2312" w:hAnsi="仿宋_GB2312" w:eastAsia="仿宋_GB2312" w:cs="仿宋_GB2312"/>
                <w:sz w:val="24"/>
                <w:szCs w:val="24"/>
                <w:highlight w:val="none"/>
                <w:vertAlign w:val="baseline"/>
              </w:rPr>
            </w:pPr>
          </w:p>
        </w:tc>
        <w:tc>
          <w:tcPr>
            <w:tcW w:w="855" w:type="dxa"/>
            <w:vAlign w:val="center"/>
          </w:tcPr>
          <w:p w14:paraId="226E4C81">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val="en-US" w:eastAsia="zh-CN" w:bidi="ar"/>
              </w:rPr>
              <w:t>8</w:t>
            </w:r>
          </w:p>
        </w:tc>
        <w:tc>
          <w:tcPr>
            <w:tcW w:w="1489" w:type="dxa"/>
            <w:vAlign w:val="center"/>
          </w:tcPr>
          <w:p w14:paraId="337E7DFB">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bidi="ar"/>
              </w:rPr>
              <w:t>响应文件的密封和标记</w:t>
            </w:r>
          </w:p>
        </w:tc>
        <w:tc>
          <w:tcPr>
            <w:tcW w:w="6415" w:type="dxa"/>
            <w:vAlign w:val="center"/>
          </w:tcPr>
          <w:p w14:paraId="441CD35E">
            <w:pPr>
              <w:pStyle w:val="2"/>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响应文件采用装订方式，装订应牢固、不易拆散和换页。如文件过厚可分册装订，但必须标明分册顺序。响应文件应在密封处加盖公章，封皮应注明：</w:t>
            </w:r>
          </w:p>
          <w:p w14:paraId="50D0A071">
            <w:pPr>
              <w:pStyle w:val="2"/>
              <w:ind w:firstLine="0" w:firstLineChars="0"/>
              <w:jc w:val="left"/>
              <w:rPr>
                <w:rFonts w:hint="eastAsia" w:ascii="仿宋_GB2312" w:hAnsi="仿宋_GB2312" w:eastAsia="仿宋_GB2312" w:cs="仿宋_GB2312"/>
                <w:color w:val="auto"/>
                <w:kern w:val="0"/>
                <w:sz w:val="24"/>
                <w:szCs w:val="24"/>
                <w:highlight w:val="none"/>
                <w:u w:val="single"/>
                <w:lang w:bidi="ar"/>
              </w:rPr>
            </w:pPr>
            <w:r>
              <w:rPr>
                <w:rFonts w:hint="eastAsia" w:ascii="仿宋_GB2312" w:hAnsi="仿宋_GB2312" w:eastAsia="仿宋_GB2312" w:cs="仿宋_GB2312"/>
                <w:color w:val="auto"/>
                <w:kern w:val="0"/>
                <w:sz w:val="24"/>
                <w:szCs w:val="24"/>
                <w:highlight w:val="none"/>
                <w:lang w:bidi="ar"/>
              </w:rPr>
              <w:t xml:space="preserve">  项目名称：</w:t>
            </w:r>
            <w:r>
              <w:rPr>
                <w:rFonts w:hint="eastAsia" w:ascii="仿宋_GB2312" w:hAnsi="仿宋_GB2312" w:eastAsia="仿宋_GB2312" w:cs="仿宋_GB2312"/>
                <w:color w:val="auto"/>
                <w:kern w:val="0"/>
                <w:sz w:val="24"/>
                <w:szCs w:val="24"/>
                <w:highlight w:val="none"/>
                <w:u w:val="single"/>
                <w:lang w:bidi="ar"/>
              </w:rPr>
              <w:t xml:space="preserve">                                          </w:t>
            </w:r>
          </w:p>
          <w:p w14:paraId="7002ABA0">
            <w:pPr>
              <w:pStyle w:val="2"/>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val="en-US" w:eastAsia="zh-CN" w:bidi="ar"/>
              </w:rPr>
              <w:t>竞租人</w:t>
            </w:r>
            <w:r>
              <w:rPr>
                <w:rFonts w:hint="eastAsia" w:ascii="仿宋_GB2312" w:hAnsi="仿宋_GB2312" w:eastAsia="仿宋_GB2312" w:cs="仿宋_GB2312"/>
                <w:color w:val="auto"/>
                <w:kern w:val="0"/>
                <w:sz w:val="24"/>
                <w:szCs w:val="24"/>
                <w:highlight w:val="none"/>
                <w:lang w:bidi="ar"/>
              </w:rPr>
              <w:t>名称：</w:t>
            </w:r>
            <w:r>
              <w:rPr>
                <w:rFonts w:hint="eastAsia" w:ascii="仿宋_GB2312" w:hAnsi="仿宋_GB2312" w:eastAsia="仿宋_GB2312" w:cs="仿宋_GB2312"/>
                <w:color w:val="auto"/>
                <w:kern w:val="0"/>
                <w:sz w:val="24"/>
                <w:szCs w:val="24"/>
                <w:highlight w:val="none"/>
                <w:u w:val="single"/>
                <w:lang w:bidi="ar"/>
              </w:rPr>
              <w:t xml:space="preserve">                                        </w:t>
            </w:r>
          </w:p>
          <w:p w14:paraId="7A83F38B">
            <w:pPr>
              <w:pStyle w:val="2"/>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val="en-US" w:eastAsia="zh-CN" w:bidi="ar"/>
              </w:rPr>
              <w:t>竞租人</w:t>
            </w:r>
            <w:r>
              <w:rPr>
                <w:rFonts w:hint="eastAsia" w:ascii="仿宋_GB2312" w:hAnsi="仿宋_GB2312" w:eastAsia="仿宋_GB2312" w:cs="仿宋_GB2312"/>
                <w:color w:val="auto"/>
                <w:kern w:val="0"/>
                <w:sz w:val="24"/>
                <w:szCs w:val="24"/>
                <w:highlight w:val="none"/>
                <w:lang w:bidi="ar"/>
              </w:rPr>
              <w:t>地址：</w:t>
            </w:r>
            <w:r>
              <w:rPr>
                <w:rFonts w:hint="eastAsia" w:ascii="仿宋_GB2312" w:hAnsi="仿宋_GB2312" w:eastAsia="仿宋_GB2312" w:cs="仿宋_GB2312"/>
                <w:color w:val="auto"/>
                <w:kern w:val="0"/>
                <w:sz w:val="24"/>
                <w:szCs w:val="24"/>
                <w:highlight w:val="none"/>
                <w:u w:val="single"/>
                <w:lang w:bidi="ar"/>
              </w:rPr>
              <w:t xml:space="preserve">                                        </w:t>
            </w:r>
          </w:p>
          <w:p w14:paraId="4DBCCD33">
            <w:pPr>
              <w:pStyle w:val="2"/>
              <w:ind w:firstLine="0" w:firstLineChars="0"/>
              <w:jc w:val="left"/>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val="en-US" w:eastAsia="zh-CN" w:bidi="ar"/>
              </w:rPr>
              <w:t>竞租人</w:t>
            </w:r>
            <w:r>
              <w:rPr>
                <w:rFonts w:hint="eastAsia" w:ascii="仿宋_GB2312" w:hAnsi="仿宋_GB2312" w:eastAsia="仿宋_GB2312" w:cs="仿宋_GB2312"/>
                <w:color w:val="auto"/>
                <w:kern w:val="0"/>
                <w:sz w:val="24"/>
                <w:szCs w:val="24"/>
                <w:highlight w:val="none"/>
                <w:lang w:bidi="ar"/>
              </w:rPr>
              <w:t>联系人及联系方式：</w:t>
            </w:r>
            <w:r>
              <w:rPr>
                <w:rFonts w:hint="eastAsia" w:ascii="仿宋_GB2312" w:hAnsi="仿宋_GB2312" w:eastAsia="仿宋_GB2312" w:cs="仿宋_GB2312"/>
                <w:color w:val="auto"/>
                <w:kern w:val="0"/>
                <w:sz w:val="24"/>
                <w:szCs w:val="24"/>
                <w:highlight w:val="none"/>
                <w:u w:val="single"/>
                <w:lang w:bidi="ar"/>
              </w:rPr>
              <w:t xml:space="preserve">                            </w:t>
            </w:r>
          </w:p>
        </w:tc>
      </w:tr>
      <w:tr w14:paraId="7336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tcPr>
          <w:p w14:paraId="2EF9D025">
            <w:pPr>
              <w:rPr>
                <w:rFonts w:hint="eastAsia" w:ascii="仿宋_GB2312" w:hAnsi="仿宋_GB2312" w:eastAsia="仿宋_GB2312" w:cs="仿宋_GB2312"/>
                <w:sz w:val="24"/>
                <w:szCs w:val="24"/>
                <w:highlight w:val="none"/>
                <w:vertAlign w:val="baseline"/>
              </w:rPr>
            </w:pPr>
          </w:p>
        </w:tc>
        <w:tc>
          <w:tcPr>
            <w:tcW w:w="855" w:type="dxa"/>
            <w:vAlign w:val="center"/>
          </w:tcPr>
          <w:p w14:paraId="2358B0CE">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val="en-US" w:eastAsia="zh-CN" w:bidi="ar"/>
              </w:rPr>
              <w:t>9</w:t>
            </w:r>
          </w:p>
        </w:tc>
        <w:tc>
          <w:tcPr>
            <w:tcW w:w="1489" w:type="dxa"/>
            <w:vAlign w:val="center"/>
          </w:tcPr>
          <w:p w14:paraId="2B960C0A">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bidi="ar"/>
              </w:rPr>
              <w:t>响应文件提交</w:t>
            </w:r>
          </w:p>
        </w:tc>
        <w:tc>
          <w:tcPr>
            <w:tcW w:w="6415" w:type="dxa"/>
            <w:vAlign w:val="center"/>
          </w:tcPr>
          <w:p w14:paraId="6D368E88">
            <w:pPr>
              <w:pStyle w:val="2"/>
              <w:ind w:firstLine="0" w:firstLineChars="0"/>
              <w:jc w:val="left"/>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bidi="ar"/>
              </w:rPr>
              <w:t>本项目</w:t>
            </w:r>
            <w:r>
              <w:rPr>
                <w:rFonts w:hint="eastAsia" w:ascii="仿宋_GB2312" w:hAnsi="仿宋_GB2312" w:eastAsia="仿宋_GB2312" w:cs="仿宋_GB2312"/>
                <w:b/>
                <w:bCs/>
                <w:color w:val="auto"/>
                <w:kern w:val="0"/>
                <w:sz w:val="24"/>
                <w:szCs w:val="24"/>
                <w:highlight w:val="none"/>
                <w:lang w:val="en-US" w:eastAsia="zh-CN" w:bidi="ar"/>
              </w:rPr>
              <w:t>采用线下递交响应文件的方式。</w:t>
            </w:r>
          </w:p>
          <w:p w14:paraId="2D9DD293">
            <w:pPr>
              <w:pStyle w:val="2"/>
              <w:ind w:firstLine="0" w:firstLineChars="0"/>
              <w:jc w:val="lef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sym w:font="Wingdings" w:char="00A8"/>
            </w:r>
            <w:r>
              <w:rPr>
                <w:rFonts w:hint="eastAsia" w:ascii="仿宋_GB2312" w:hAnsi="仿宋_GB2312" w:eastAsia="仿宋_GB2312" w:cs="仿宋_GB2312"/>
                <w:color w:val="auto"/>
                <w:kern w:val="0"/>
                <w:sz w:val="24"/>
                <w:szCs w:val="24"/>
                <w:highlight w:val="none"/>
                <w:lang w:val="en-US" w:eastAsia="zh-CN" w:bidi="ar"/>
              </w:rPr>
              <w:t>线上</w:t>
            </w:r>
            <w:r>
              <w:rPr>
                <w:rFonts w:hint="eastAsia" w:ascii="仿宋_GB2312" w:hAnsi="仿宋_GB2312" w:eastAsia="仿宋_GB2312" w:cs="仿宋_GB2312"/>
                <w:color w:val="auto"/>
                <w:kern w:val="0"/>
                <w:sz w:val="24"/>
                <w:szCs w:val="24"/>
                <w:highlight w:val="none"/>
                <w:lang w:bidi="ar"/>
              </w:rPr>
              <w:t>提交</w:t>
            </w:r>
            <w:r>
              <w:rPr>
                <w:rFonts w:hint="eastAsia" w:ascii="仿宋_GB2312" w:hAnsi="仿宋_GB2312" w:eastAsia="仿宋_GB2312" w:cs="仿宋_GB2312"/>
                <w:color w:val="auto"/>
                <w:kern w:val="0"/>
                <w:sz w:val="24"/>
                <w:szCs w:val="24"/>
                <w:highlight w:val="none"/>
                <w:lang w:val="en-US" w:eastAsia="zh-CN" w:bidi="ar"/>
              </w:rPr>
              <w:t>盖章版的</w:t>
            </w:r>
            <w:r>
              <w:rPr>
                <w:rFonts w:hint="eastAsia" w:ascii="仿宋_GB2312" w:hAnsi="仿宋_GB2312" w:eastAsia="仿宋_GB2312" w:cs="仿宋_GB2312"/>
                <w:color w:val="auto"/>
                <w:kern w:val="0"/>
                <w:sz w:val="24"/>
                <w:szCs w:val="24"/>
                <w:highlight w:val="none"/>
                <w:lang w:bidi="ar"/>
              </w:rPr>
              <w:t>响应文件</w:t>
            </w:r>
            <w:r>
              <w:rPr>
                <w:rFonts w:hint="eastAsia" w:ascii="仿宋_GB2312" w:hAnsi="仿宋_GB2312" w:eastAsia="仿宋_GB2312" w:cs="仿宋_GB2312"/>
                <w:color w:val="auto"/>
                <w:kern w:val="0"/>
                <w:sz w:val="24"/>
                <w:szCs w:val="24"/>
                <w:highlight w:val="none"/>
                <w:lang w:eastAsia="zh-CN" w:bidi="ar"/>
              </w:rPr>
              <w:t>；</w:t>
            </w:r>
          </w:p>
          <w:p w14:paraId="003841CF">
            <w:pPr>
              <w:pStyle w:val="2"/>
              <w:ind w:firstLine="0" w:firstLineChars="0"/>
              <w:jc w:val="left"/>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val="en-US" w:eastAsia="zh-CN" w:bidi="ar"/>
              </w:rPr>
              <w:sym w:font="Wingdings" w:char="00FE"/>
            </w:r>
            <w:r>
              <w:rPr>
                <w:rFonts w:hint="eastAsia" w:ascii="仿宋_GB2312" w:hAnsi="仿宋_GB2312" w:eastAsia="仿宋_GB2312" w:cs="仿宋_GB2312"/>
                <w:color w:val="auto"/>
                <w:kern w:val="0"/>
                <w:sz w:val="24"/>
                <w:szCs w:val="24"/>
                <w:highlight w:val="none"/>
                <w:lang w:val="en-US" w:eastAsia="zh-CN" w:bidi="ar"/>
              </w:rPr>
              <w:t>线下</w:t>
            </w:r>
            <w:r>
              <w:rPr>
                <w:rFonts w:hint="eastAsia" w:ascii="仿宋_GB2312" w:hAnsi="仿宋_GB2312" w:eastAsia="仿宋_GB2312" w:cs="仿宋_GB2312"/>
                <w:color w:val="auto"/>
                <w:kern w:val="0"/>
                <w:sz w:val="24"/>
                <w:szCs w:val="24"/>
                <w:highlight w:val="none"/>
                <w:lang w:bidi="ar"/>
              </w:rPr>
              <w:t>提交纸质响应文件；响应文件送达地址：</w:t>
            </w:r>
            <w:r>
              <w:rPr>
                <w:rFonts w:hint="eastAsia" w:ascii="仿宋_GB2312" w:hAnsi="仿宋_GB2312" w:eastAsia="仿宋_GB2312" w:cs="仿宋_GB2312"/>
                <w:color w:val="auto"/>
                <w:kern w:val="0"/>
                <w:sz w:val="24"/>
                <w:szCs w:val="24"/>
                <w:highlight w:val="none"/>
                <w:lang w:val="en-US" w:eastAsia="zh-CN" w:bidi="ar"/>
              </w:rPr>
              <w:t>见公开招租公告</w:t>
            </w:r>
          </w:p>
        </w:tc>
      </w:tr>
      <w:tr w14:paraId="6EC7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restart"/>
            <w:vAlign w:val="center"/>
          </w:tcPr>
          <w:p w14:paraId="6B81457C">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eastAsia="zh-CN" w:bidi="ar"/>
              </w:rPr>
              <w:t>响应</w:t>
            </w:r>
            <w:r>
              <w:rPr>
                <w:rFonts w:hint="eastAsia" w:ascii="仿宋_GB2312" w:hAnsi="仿宋_GB2312" w:eastAsia="仿宋_GB2312" w:cs="仿宋_GB2312"/>
                <w:color w:val="auto"/>
                <w:kern w:val="0"/>
                <w:sz w:val="24"/>
                <w:szCs w:val="24"/>
                <w:highlight w:val="none"/>
                <w:lang w:bidi="ar"/>
              </w:rPr>
              <w:t>文件开启</w:t>
            </w:r>
          </w:p>
        </w:tc>
        <w:tc>
          <w:tcPr>
            <w:tcW w:w="855" w:type="dxa"/>
            <w:vAlign w:val="center"/>
          </w:tcPr>
          <w:p w14:paraId="73654773">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0</w:t>
            </w:r>
          </w:p>
        </w:tc>
        <w:tc>
          <w:tcPr>
            <w:tcW w:w="1489" w:type="dxa"/>
            <w:vAlign w:val="center"/>
          </w:tcPr>
          <w:p w14:paraId="4253DD11">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bidi="ar"/>
              </w:rPr>
              <w:t>响应文件开启会议</w:t>
            </w:r>
          </w:p>
        </w:tc>
        <w:tc>
          <w:tcPr>
            <w:tcW w:w="6415" w:type="dxa"/>
            <w:vAlign w:val="center"/>
          </w:tcPr>
          <w:p w14:paraId="608A64E7">
            <w:pPr>
              <w:pStyle w:val="2"/>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①会议时间：同响应截止时间；</w:t>
            </w:r>
          </w:p>
          <w:p w14:paraId="042E450C">
            <w:pPr>
              <w:pStyle w:val="2"/>
              <w:ind w:firstLine="0" w:firstLineChars="0"/>
              <w:jc w:val="left"/>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color w:val="auto"/>
                <w:kern w:val="0"/>
                <w:sz w:val="24"/>
                <w:szCs w:val="24"/>
                <w:highlight w:val="none"/>
                <w:lang w:bidi="ar"/>
              </w:rPr>
              <w:t>②会议地点：</w:t>
            </w:r>
            <w:r>
              <w:rPr>
                <w:rFonts w:hint="eastAsia" w:ascii="仿宋_GB2312" w:hAnsi="仿宋_GB2312" w:eastAsia="仿宋_GB2312" w:cs="仿宋_GB2312"/>
                <w:color w:val="auto"/>
                <w:kern w:val="0"/>
                <w:sz w:val="24"/>
                <w:szCs w:val="24"/>
                <w:highlight w:val="none"/>
                <w:lang w:val="en-US" w:eastAsia="zh-CN" w:bidi="ar"/>
              </w:rPr>
              <w:t>佛山市顺德区北滘镇高村村裕和东路102号1号楼8楼大会议室</w:t>
            </w:r>
            <w:r>
              <w:rPr>
                <w:rFonts w:hint="eastAsia" w:ascii="仿宋_GB2312" w:hAnsi="仿宋_GB2312" w:eastAsia="仿宋_GB2312" w:cs="仿宋_GB2312"/>
                <w:color w:val="auto"/>
                <w:kern w:val="0"/>
                <w:sz w:val="24"/>
                <w:szCs w:val="24"/>
                <w:highlight w:val="none"/>
                <w:lang w:eastAsia="zh-CN" w:bidi="ar"/>
              </w:rPr>
              <w:t>。</w:t>
            </w:r>
          </w:p>
        </w:tc>
      </w:tr>
      <w:tr w14:paraId="44AE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14:paraId="6BC7C302">
            <w:pPr>
              <w:pStyle w:val="2"/>
              <w:ind w:firstLine="0" w:firstLineChars="0"/>
              <w:jc w:val="center"/>
              <w:rPr>
                <w:rFonts w:hint="eastAsia" w:ascii="仿宋_GB2312" w:hAnsi="仿宋_GB2312" w:eastAsia="仿宋_GB2312" w:cs="仿宋_GB2312"/>
                <w:sz w:val="24"/>
                <w:szCs w:val="24"/>
                <w:highlight w:val="none"/>
                <w:vertAlign w:val="baseline"/>
              </w:rPr>
            </w:pPr>
          </w:p>
        </w:tc>
        <w:tc>
          <w:tcPr>
            <w:tcW w:w="855" w:type="dxa"/>
            <w:vAlign w:val="center"/>
          </w:tcPr>
          <w:p w14:paraId="49937432">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1</w:t>
            </w:r>
          </w:p>
        </w:tc>
        <w:tc>
          <w:tcPr>
            <w:tcW w:w="1489" w:type="dxa"/>
            <w:vAlign w:val="center"/>
          </w:tcPr>
          <w:p w14:paraId="756CFB5E">
            <w:pPr>
              <w:pStyle w:val="2"/>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bidi="ar"/>
              </w:rPr>
              <w:t>开启文件前的密封检查</w:t>
            </w:r>
          </w:p>
        </w:tc>
        <w:tc>
          <w:tcPr>
            <w:tcW w:w="6415" w:type="dxa"/>
            <w:vAlign w:val="center"/>
          </w:tcPr>
          <w:p w14:paraId="60D06BE6">
            <w:pPr>
              <w:pStyle w:val="2"/>
              <w:numPr>
                <w:ilvl w:val="0"/>
                <w:numId w:val="0"/>
              </w:numPr>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1.宣布递交响应文件时间截止后，将不再接收任何响应文件。</w:t>
            </w:r>
          </w:p>
          <w:p w14:paraId="4892DEAA">
            <w:pPr>
              <w:pStyle w:val="2"/>
              <w:numPr>
                <w:ilvl w:val="0"/>
                <w:numId w:val="0"/>
              </w:numPr>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2.在规定响应时间内，若无竞租人响应，则本项目交易失败。提交报价文件少于拟定竞得人数量三倍时，可照常进行。</w:t>
            </w:r>
          </w:p>
          <w:p w14:paraId="74D15991">
            <w:pPr>
              <w:pStyle w:val="2"/>
              <w:ind w:firstLine="0" w:firstLineChars="0"/>
              <w:jc w:val="left"/>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color w:val="auto"/>
                <w:kern w:val="0"/>
                <w:sz w:val="24"/>
                <w:szCs w:val="24"/>
                <w:highlight w:val="none"/>
                <w:lang w:val="en-US" w:eastAsia="zh-CN" w:bidi="ar"/>
              </w:rPr>
              <w:t>3.开启前，由提交响应文件顺序的前三名竞租人代表全体竞租人对全部响应文件的密封情况进行当众检查。经检查未按要求密封的响应文件不予启封并现场退还。</w:t>
            </w:r>
          </w:p>
        </w:tc>
      </w:tr>
      <w:tr w14:paraId="643E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14:paraId="4581D0B6">
            <w:pPr>
              <w:pStyle w:val="2"/>
              <w:ind w:firstLine="0" w:firstLineChars="0"/>
              <w:jc w:val="center"/>
              <w:rPr>
                <w:rFonts w:hint="eastAsia" w:ascii="仿宋_GB2312" w:hAnsi="仿宋_GB2312" w:eastAsia="仿宋_GB2312" w:cs="仿宋_GB2312"/>
                <w:sz w:val="24"/>
                <w:szCs w:val="24"/>
                <w:highlight w:val="none"/>
                <w:vertAlign w:val="baseline"/>
              </w:rPr>
            </w:pPr>
          </w:p>
        </w:tc>
        <w:tc>
          <w:tcPr>
            <w:tcW w:w="855" w:type="dxa"/>
            <w:vAlign w:val="center"/>
          </w:tcPr>
          <w:p w14:paraId="6A03BEFF">
            <w:pPr>
              <w:pStyle w:val="2"/>
              <w:ind w:firstLine="0" w:firstLineChars="0"/>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12</w:t>
            </w:r>
          </w:p>
        </w:tc>
        <w:tc>
          <w:tcPr>
            <w:tcW w:w="1489" w:type="dxa"/>
            <w:vAlign w:val="center"/>
          </w:tcPr>
          <w:p w14:paraId="695754BD">
            <w:pPr>
              <w:pStyle w:val="2"/>
              <w:ind w:firstLine="0" w:firstLineChars="0"/>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开启响应文件</w:t>
            </w:r>
          </w:p>
        </w:tc>
        <w:tc>
          <w:tcPr>
            <w:tcW w:w="6415" w:type="dxa"/>
            <w:vAlign w:val="center"/>
          </w:tcPr>
          <w:p w14:paraId="7E159F8D">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1.管理人对经检查密封完好的响应文件进行启封唱读。</w:t>
            </w:r>
          </w:p>
          <w:p w14:paraId="35D837BB">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2.管理人将记录唱读内容，并当场公布。开启记录由唱读人、竞租人代表和有关人员共同签字确认。如唱读内容与响应文件不一致时，竞租人代表须当场提出，否则视为接受并同意开启记录。</w:t>
            </w:r>
          </w:p>
          <w:p w14:paraId="57E0E8FE">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3.管理人不向竞租人退还开启拆封后的响应文件。</w:t>
            </w:r>
          </w:p>
        </w:tc>
      </w:tr>
      <w:tr w14:paraId="53AA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14:paraId="02230573">
            <w:pPr>
              <w:pStyle w:val="2"/>
              <w:ind w:firstLine="0" w:firstLineChars="0"/>
              <w:jc w:val="center"/>
              <w:rPr>
                <w:rFonts w:hint="eastAsia" w:ascii="仿宋_GB2312" w:hAnsi="仿宋_GB2312" w:eastAsia="仿宋_GB2312" w:cs="仿宋_GB2312"/>
                <w:sz w:val="24"/>
                <w:szCs w:val="24"/>
                <w:highlight w:val="none"/>
                <w:vertAlign w:val="baseline"/>
              </w:rPr>
            </w:pPr>
          </w:p>
        </w:tc>
        <w:tc>
          <w:tcPr>
            <w:tcW w:w="855" w:type="dxa"/>
            <w:vAlign w:val="center"/>
          </w:tcPr>
          <w:p w14:paraId="2B656D10">
            <w:pPr>
              <w:pStyle w:val="2"/>
              <w:ind w:firstLine="0" w:firstLineChars="0"/>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3</w:t>
            </w:r>
          </w:p>
        </w:tc>
        <w:tc>
          <w:tcPr>
            <w:tcW w:w="1489" w:type="dxa"/>
            <w:vAlign w:val="center"/>
          </w:tcPr>
          <w:p w14:paraId="498EA1C8">
            <w:pPr>
              <w:pStyle w:val="2"/>
              <w:ind w:firstLine="0" w:firstLineChars="0"/>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成交候选人</w:t>
            </w:r>
            <w:r>
              <w:rPr>
                <w:rFonts w:hint="eastAsia" w:ascii="仿宋_GB2312" w:hAnsi="仿宋_GB2312" w:eastAsia="仿宋_GB2312" w:cs="仿宋_GB2312"/>
                <w:color w:val="auto"/>
                <w:kern w:val="0"/>
                <w:sz w:val="24"/>
                <w:szCs w:val="24"/>
                <w:highlight w:val="none"/>
                <w:lang w:eastAsia="zh-CN" w:bidi="ar"/>
              </w:rPr>
              <w:t>公示</w:t>
            </w:r>
          </w:p>
        </w:tc>
        <w:tc>
          <w:tcPr>
            <w:tcW w:w="6415" w:type="dxa"/>
            <w:vAlign w:val="center"/>
          </w:tcPr>
          <w:p w14:paraId="49424F90">
            <w:pPr>
              <w:pStyle w:val="2"/>
              <w:ind w:firstLine="0" w:firstLineChars="0"/>
              <w:jc w:val="lef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综合资格审查情况，根据报价由高到低的原则推荐1</w:t>
            </w:r>
            <w:r>
              <w:rPr>
                <w:rFonts w:hint="eastAsia" w:ascii="仿宋_GB2312" w:hAnsi="仿宋_GB2312" w:eastAsia="仿宋_GB2312" w:cs="仿宋_GB2312"/>
                <w:color w:val="auto"/>
                <w:kern w:val="0"/>
                <w:sz w:val="24"/>
                <w:szCs w:val="24"/>
                <w:highlight w:val="none"/>
                <w:lang w:bidi="ar"/>
              </w:rPr>
              <w:t>名</w:t>
            </w:r>
            <w:r>
              <w:rPr>
                <w:rFonts w:hint="eastAsia" w:ascii="仿宋_GB2312" w:hAnsi="仿宋_GB2312" w:eastAsia="仿宋_GB2312" w:cs="仿宋_GB2312"/>
                <w:color w:val="auto"/>
                <w:kern w:val="0"/>
                <w:sz w:val="24"/>
                <w:szCs w:val="24"/>
                <w:highlight w:val="none"/>
                <w:lang w:val="en-US" w:eastAsia="zh-CN" w:bidi="ar"/>
              </w:rPr>
              <w:t>成交</w:t>
            </w:r>
            <w:r>
              <w:rPr>
                <w:rFonts w:hint="eastAsia" w:ascii="仿宋_GB2312" w:hAnsi="仿宋_GB2312" w:eastAsia="仿宋_GB2312" w:cs="仿宋_GB2312"/>
                <w:color w:val="auto"/>
                <w:kern w:val="0"/>
                <w:sz w:val="24"/>
                <w:szCs w:val="24"/>
                <w:highlight w:val="none"/>
                <w:lang w:bidi="ar"/>
              </w:rPr>
              <w:t>候选人</w:t>
            </w:r>
            <w:r>
              <w:rPr>
                <w:rFonts w:hint="eastAsia" w:ascii="仿宋_GB2312" w:hAnsi="仿宋_GB2312" w:eastAsia="仿宋_GB2312" w:cs="仿宋_GB2312"/>
                <w:color w:val="auto"/>
                <w:kern w:val="0"/>
                <w:sz w:val="24"/>
                <w:szCs w:val="24"/>
                <w:highlight w:val="none"/>
                <w:lang w:eastAsia="zh-CN" w:bidi="ar"/>
              </w:rPr>
              <w:t>；</w:t>
            </w:r>
          </w:p>
          <w:p w14:paraId="1333723C">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公示媒介：</w:t>
            </w:r>
            <w:r>
              <w:rPr>
                <w:rFonts w:hint="eastAsia" w:ascii="仿宋_GB2312" w:hAnsi="仿宋_GB2312" w:eastAsia="仿宋_GB2312" w:cs="仿宋_GB2312"/>
                <w:color w:val="auto"/>
                <w:kern w:val="0"/>
                <w:sz w:val="24"/>
                <w:szCs w:val="24"/>
                <w:highlight w:val="none"/>
                <w:lang w:val="en-US" w:eastAsia="zh-CN" w:bidi="ar"/>
              </w:rPr>
              <w:t>见公开招租公告“发布媒介”；</w:t>
            </w:r>
          </w:p>
          <w:p w14:paraId="005A99A5">
            <w:pPr>
              <w:pStyle w:val="2"/>
              <w:ind w:firstLine="0" w:firstLine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公示期;3个工作日。</w:t>
            </w:r>
          </w:p>
        </w:tc>
      </w:tr>
      <w:tr w14:paraId="5BF3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14:paraId="6A39725D">
            <w:pPr>
              <w:pStyle w:val="2"/>
              <w:ind w:firstLine="0" w:firstLineChars="0"/>
              <w:jc w:val="center"/>
              <w:rPr>
                <w:rFonts w:hint="eastAsia" w:ascii="仿宋_GB2312" w:hAnsi="仿宋_GB2312" w:eastAsia="仿宋_GB2312" w:cs="仿宋_GB2312"/>
                <w:color w:val="auto"/>
                <w:kern w:val="0"/>
                <w:sz w:val="24"/>
                <w:szCs w:val="24"/>
                <w:highlight w:val="none"/>
                <w:lang w:eastAsia="zh-CN" w:bidi="ar"/>
              </w:rPr>
            </w:pPr>
          </w:p>
        </w:tc>
        <w:tc>
          <w:tcPr>
            <w:tcW w:w="855" w:type="dxa"/>
            <w:vAlign w:val="center"/>
          </w:tcPr>
          <w:p w14:paraId="531AA1AA">
            <w:pPr>
              <w:pStyle w:val="2"/>
              <w:ind w:firstLine="0" w:firstLineChars="0"/>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14</w:t>
            </w:r>
          </w:p>
        </w:tc>
        <w:tc>
          <w:tcPr>
            <w:tcW w:w="1489" w:type="dxa"/>
            <w:vAlign w:val="center"/>
          </w:tcPr>
          <w:p w14:paraId="263ECB31">
            <w:pPr>
              <w:pStyle w:val="2"/>
              <w:ind w:firstLine="0" w:firstLineChars="0"/>
              <w:jc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成交通知书</w:t>
            </w:r>
          </w:p>
        </w:tc>
        <w:tc>
          <w:tcPr>
            <w:tcW w:w="6415" w:type="dxa"/>
            <w:vAlign w:val="center"/>
          </w:tcPr>
          <w:p w14:paraId="46C84088">
            <w:pPr>
              <w:pStyle w:val="2"/>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管理人</w:t>
            </w:r>
            <w:r>
              <w:rPr>
                <w:rFonts w:hint="eastAsia" w:ascii="仿宋_GB2312" w:hAnsi="仿宋_GB2312" w:eastAsia="仿宋_GB2312" w:cs="仿宋_GB2312"/>
                <w:color w:val="auto"/>
                <w:kern w:val="0"/>
                <w:sz w:val="24"/>
                <w:szCs w:val="24"/>
                <w:highlight w:val="none"/>
                <w:lang w:bidi="ar"/>
              </w:rPr>
              <w:t>应在确定成交人后及时向</w:t>
            </w:r>
            <w:r>
              <w:rPr>
                <w:rFonts w:hint="eastAsia" w:ascii="仿宋_GB2312" w:hAnsi="仿宋_GB2312" w:eastAsia="仿宋_GB2312" w:cs="仿宋_GB2312"/>
                <w:color w:val="auto"/>
                <w:kern w:val="0"/>
                <w:sz w:val="24"/>
                <w:szCs w:val="24"/>
                <w:highlight w:val="none"/>
                <w:lang w:eastAsia="zh-CN" w:bidi="ar"/>
              </w:rPr>
              <w:t>竞得人</w:t>
            </w:r>
            <w:r>
              <w:rPr>
                <w:rFonts w:hint="eastAsia" w:ascii="仿宋_GB2312" w:hAnsi="仿宋_GB2312" w:eastAsia="仿宋_GB2312" w:cs="仿宋_GB2312"/>
                <w:color w:val="auto"/>
                <w:kern w:val="0"/>
                <w:sz w:val="24"/>
                <w:szCs w:val="24"/>
                <w:highlight w:val="none"/>
                <w:lang w:bidi="ar"/>
              </w:rPr>
              <w:t>发出成交通知书。</w:t>
            </w:r>
          </w:p>
        </w:tc>
      </w:tr>
      <w:tr w14:paraId="3A24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Align w:val="center"/>
          </w:tcPr>
          <w:p w14:paraId="18ED76F2">
            <w:pPr>
              <w:pStyle w:val="2"/>
              <w:ind w:firstLine="0" w:firstLineChars="0"/>
              <w:jc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签订合同</w:t>
            </w:r>
          </w:p>
        </w:tc>
        <w:tc>
          <w:tcPr>
            <w:tcW w:w="855" w:type="dxa"/>
            <w:vAlign w:val="center"/>
          </w:tcPr>
          <w:p w14:paraId="60FC34B8">
            <w:pPr>
              <w:pStyle w:val="2"/>
              <w:ind w:firstLine="0" w:firstLineChars="0"/>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15</w:t>
            </w:r>
          </w:p>
        </w:tc>
        <w:tc>
          <w:tcPr>
            <w:tcW w:w="1489" w:type="dxa"/>
            <w:vAlign w:val="center"/>
          </w:tcPr>
          <w:p w14:paraId="0C3CE8DA">
            <w:pPr>
              <w:pStyle w:val="2"/>
              <w:ind w:firstLine="0" w:firstLineChars="0"/>
              <w:jc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签到书面合同</w:t>
            </w:r>
          </w:p>
        </w:tc>
        <w:tc>
          <w:tcPr>
            <w:tcW w:w="6415" w:type="dxa"/>
            <w:vAlign w:val="center"/>
          </w:tcPr>
          <w:p w14:paraId="0773B15B">
            <w:pPr>
              <w:pStyle w:val="2"/>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出租人</w:t>
            </w:r>
            <w:r>
              <w:rPr>
                <w:rFonts w:hint="eastAsia" w:ascii="仿宋_GB2312" w:hAnsi="仿宋_GB2312" w:eastAsia="仿宋_GB2312" w:cs="仿宋_GB2312"/>
                <w:color w:val="auto"/>
                <w:kern w:val="0"/>
                <w:sz w:val="24"/>
                <w:szCs w:val="24"/>
                <w:highlight w:val="none"/>
                <w:lang w:bidi="ar"/>
              </w:rPr>
              <w:t>与</w:t>
            </w:r>
            <w:r>
              <w:rPr>
                <w:rFonts w:hint="eastAsia" w:ascii="仿宋_GB2312" w:hAnsi="仿宋_GB2312" w:eastAsia="仿宋_GB2312" w:cs="仿宋_GB2312"/>
                <w:color w:val="auto"/>
                <w:kern w:val="0"/>
                <w:sz w:val="24"/>
                <w:szCs w:val="24"/>
                <w:highlight w:val="none"/>
                <w:lang w:eastAsia="zh-CN" w:bidi="ar"/>
              </w:rPr>
              <w:t>竞得人</w:t>
            </w:r>
            <w:r>
              <w:rPr>
                <w:rFonts w:hint="eastAsia" w:ascii="仿宋_GB2312" w:hAnsi="仿宋_GB2312" w:eastAsia="仿宋_GB2312" w:cs="仿宋_GB2312"/>
                <w:color w:val="auto"/>
                <w:kern w:val="0"/>
                <w:sz w:val="24"/>
                <w:szCs w:val="24"/>
                <w:highlight w:val="none"/>
                <w:lang w:bidi="ar"/>
              </w:rPr>
              <w:t>自成交通知书发出之日起三十日内，按公告文件要求和</w:t>
            </w:r>
            <w:r>
              <w:rPr>
                <w:rFonts w:hint="eastAsia" w:ascii="仿宋_GB2312" w:hAnsi="仿宋_GB2312" w:eastAsia="仿宋_GB2312" w:cs="仿宋_GB2312"/>
                <w:color w:val="auto"/>
                <w:kern w:val="0"/>
                <w:sz w:val="24"/>
                <w:szCs w:val="24"/>
                <w:highlight w:val="none"/>
                <w:lang w:eastAsia="zh-CN" w:bidi="ar"/>
              </w:rPr>
              <w:t>竞得人</w:t>
            </w:r>
            <w:r>
              <w:rPr>
                <w:rFonts w:hint="eastAsia" w:ascii="仿宋_GB2312" w:hAnsi="仿宋_GB2312" w:eastAsia="仿宋_GB2312" w:cs="仿宋_GB2312"/>
                <w:color w:val="auto"/>
                <w:kern w:val="0"/>
                <w:sz w:val="24"/>
                <w:szCs w:val="24"/>
                <w:highlight w:val="none"/>
                <w:lang w:bidi="ar"/>
              </w:rPr>
              <w:t>签订合同。</w:t>
            </w:r>
          </w:p>
          <w:p w14:paraId="267BA634">
            <w:pPr>
              <w:pStyle w:val="2"/>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2.本项目合同范本（包括合同主要条款）由</w:t>
            </w:r>
            <w:r>
              <w:rPr>
                <w:rFonts w:hint="eastAsia" w:ascii="仿宋_GB2312" w:hAnsi="仿宋_GB2312" w:eastAsia="仿宋_GB2312" w:cs="仿宋_GB2312"/>
                <w:color w:val="auto"/>
                <w:kern w:val="0"/>
                <w:sz w:val="24"/>
                <w:szCs w:val="24"/>
                <w:highlight w:val="none"/>
                <w:lang w:val="en-US" w:eastAsia="zh-CN" w:bidi="ar"/>
              </w:rPr>
              <w:t>管理人</w:t>
            </w:r>
            <w:r>
              <w:rPr>
                <w:rFonts w:hint="eastAsia" w:ascii="仿宋_GB2312" w:hAnsi="仿宋_GB2312" w:eastAsia="仿宋_GB2312" w:cs="仿宋_GB2312"/>
                <w:color w:val="auto"/>
                <w:kern w:val="0"/>
                <w:sz w:val="24"/>
                <w:szCs w:val="24"/>
                <w:highlight w:val="none"/>
                <w:lang w:bidi="ar"/>
              </w:rPr>
              <w:t>提供，</w:t>
            </w:r>
            <w:r>
              <w:rPr>
                <w:rFonts w:hint="eastAsia" w:ascii="仿宋_GB2312" w:hAnsi="仿宋_GB2312" w:eastAsia="仿宋_GB2312" w:cs="仿宋_GB2312"/>
                <w:color w:val="auto"/>
                <w:kern w:val="0"/>
                <w:sz w:val="24"/>
                <w:szCs w:val="24"/>
                <w:highlight w:val="none"/>
                <w:lang w:eastAsia="zh-CN" w:bidi="ar"/>
              </w:rPr>
              <w:t>竞得人</w:t>
            </w:r>
            <w:r>
              <w:rPr>
                <w:rFonts w:hint="eastAsia" w:ascii="仿宋_GB2312" w:hAnsi="仿宋_GB2312" w:eastAsia="仿宋_GB2312" w:cs="仿宋_GB2312"/>
                <w:color w:val="auto"/>
                <w:kern w:val="0"/>
                <w:sz w:val="24"/>
                <w:szCs w:val="24"/>
                <w:highlight w:val="none"/>
                <w:lang w:bidi="ar"/>
              </w:rPr>
              <w:t>知悉并同意无条件接受，以最终签订版本为准。</w:t>
            </w:r>
          </w:p>
        </w:tc>
      </w:tr>
    </w:tbl>
    <w:p w14:paraId="1D921CF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2" w:firstLineChars="200"/>
        <w:jc w:val="left"/>
        <w:textAlignment w:val="baseline"/>
        <w:outlineLvl w:val="9"/>
        <w:rPr>
          <w:rFonts w:hint="eastAsia" w:ascii="楷体_GB2312" w:hAnsi="楷体_GB2312" w:eastAsia="楷体_GB2312" w:cs="楷体_GB2312"/>
          <w:b/>
          <w:bCs/>
          <w:sz w:val="28"/>
          <w:szCs w:val="28"/>
          <w:lang w:val="en-US" w:eastAsia="zh-CN"/>
        </w:rPr>
      </w:pPr>
    </w:p>
    <w:p w14:paraId="7761990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2" w:firstLineChars="200"/>
        <w:jc w:val="left"/>
        <w:textAlignment w:val="baseline"/>
        <w:outlineLvl w:val="9"/>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五、发生下列情况之一者，视为无效响应行为：</w:t>
      </w:r>
    </w:p>
    <w:p w14:paraId="32FB9FF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（一）响应文件未密封或未按规定签字、盖章的。</w:t>
      </w:r>
    </w:p>
    <w:p w14:paraId="2484F20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（二）未按公告文件的规定提交响应文件的。</w:t>
      </w:r>
    </w:p>
    <w:p w14:paraId="35A1176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（三）响应文件未按规定格式填写，或内容与招租文件严重背离的。</w:t>
      </w:r>
    </w:p>
    <w:p w14:paraId="3B4A41B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（四）响应文件有两个以上报价的(公告文件允许提交备选方案的除外)。</w:t>
      </w:r>
    </w:p>
    <w:p w14:paraId="6293177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（五）响应报价低于项目租金最低单价。</w:t>
      </w:r>
    </w:p>
    <w:p w14:paraId="5C40E54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（六）竞租人不符合国家或者公告文件规定的资格条件。</w:t>
      </w:r>
    </w:p>
    <w:p w14:paraId="4227894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（七）响应文件没有对公告文件的实质性要求和条件作出响应。</w:t>
      </w:r>
    </w:p>
    <w:p w14:paraId="439D83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（八）其他不符合公告文件要求的情形。</w:t>
      </w:r>
    </w:p>
    <w:p w14:paraId="05A988D3">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楷体_GB2312" w:hAnsi="楷体_GB2312" w:eastAsia="楷体_GB2312" w:cs="楷体_GB2312"/>
          <w:b/>
          <w:bCs/>
          <w:sz w:val="28"/>
          <w:szCs w:val="28"/>
          <w:lang w:val="en-US" w:eastAsia="zh-CN"/>
        </w:rPr>
        <w:t>六、响应文件需附有以下资料：</w:t>
      </w:r>
    </w:p>
    <w:p w14:paraId="2141DD9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 w:hAnsi="仿宋" w:eastAsia="仿宋" w:cs="仿宋"/>
          <w:sz w:val="28"/>
          <w:szCs w:val="28"/>
          <w:highlight w:val="none"/>
          <w:lang w:val="en-US" w:eastAsia="zh-CN"/>
        </w:rPr>
      </w:pPr>
      <w:r>
        <w:rPr>
          <w:rFonts w:hint="eastAsia" w:ascii="仿宋_GB2312" w:hAnsi="仿宋_GB2312" w:eastAsia="仿宋_GB2312" w:cs="仿宋_GB2312"/>
          <w:sz w:val="28"/>
          <w:szCs w:val="28"/>
          <w:lang w:val="en-US" w:eastAsia="zh-CN"/>
        </w:rPr>
        <w:t>①响应函(含报价)；②法定代表人证明或授权委托书/自然人身份证复印件；③营业执照；④信用中国查询记录；⑤中国政府采购网查询记录；⑥声明函；⑦竞租人认为需要提供的其他材料(如有)。</w:t>
      </w:r>
    </w:p>
    <w:p w14:paraId="35A4FB0C">
      <w:pPr>
        <w:widowControl/>
        <w:numPr>
          <w:ilvl w:val="0"/>
          <w:numId w:val="0"/>
        </w:numPr>
        <w:spacing w:line="500" w:lineRule="exact"/>
        <w:ind w:firstLine="548" w:firstLineChars="0"/>
        <w:jc w:val="left"/>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七、质疑和投诉</w:t>
      </w:r>
    </w:p>
    <w:p w14:paraId="2269AD9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（一）质疑提出的时间：</w:t>
      </w:r>
    </w:p>
    <w:p w14:paraId="6D20736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①对公开招租文件的质疑应在获取招租公告发布后3个工作日内提出；②对审查过程及结果的质疑应在结果公示期间提出。</w:t>
      </w:r>
    </w:p>
    <w:p w14:paraId="5837012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（二）质疑函包含的基本要素：</w:t>
      </w:r>
    </w:p>
    <w:p w14:paraId="2906F30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①竞租人的姓名或者名称、地址、联系人及联系电话；②质疑项目的名称、编号；③具体、明确的质疑事项和与质疑事项相关的请求；④事实依据；⑤必要的法律依据；⑥提出质疑的日期。</w:t>
      </w:r>
    </w:p>
    <w:p w14:paraId="3FDC334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（三）投诉函包含的基本要素：</w:t>
      </w:r>
    </w:p>
    <w:p w14:paraId="6A919FD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①投诉人和被投诉人的姓名或者名称、地址、联系人及联系电话；②投诉项目的名称、编号；③具体的投诉事项及事实依据；④质疑和质疑答复情况的简要描述及相关证明材料；⑤投诉请求；⑥提出投诉的日期。</w:t>
      </w:r>
    </w:p>
    <w:p w14:paraId="2BF94F9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（四）无效质疑和投诉：</w:t>
      </w:r>
    </w:p>
    <w:p w14:paraId="2F28FE9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管理人或投诉受理部门对以下无效质疑或投诉有权不予受理：①跨阶段提出质疑；②质疑或投诉文件未经法定代表人（或授权人）签字并加盖公章；③质疑或投诉基本要素缺失；④质疑或投诉缺少相关依据及证据，仅凭猜测或者证据来源明显违反评审保密规定的；⑤超过质疑或投诉时效。</w:t>
      </w:r>
    </w:p>
    <w:p w14:paraId="675DC54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（五）对质疑和投诉回复不满意</w:t>
      </w:r>
    </w:p>
    <w:p w14:paraId="442CD06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right="0" w:rightChars="0" w:firstLine="560" w:firstLineChars="200"/>
        <w:jc w:val="left"/>
        <w:textAlignment w:val="baseline"/>
        <w:outlineLvl w:val="9"/>
        <w:rPr>
          <w:rFonts w:hint="eastAsia" w:ascii="仿宋" w:hAnsi="仿宋" w:eastAsia="仿宋" w:cs="仿宋"/>
          <w:sz w:val="28"/>
          <w:szCs w:val="28"/>
          <w:highlight w:val="none"/>
          <w:lang w:val="en-US" w:eastAsia="zh-CN"/>
        </w:rPr>
      </w:pPr>
      <w:r>
        <w:rPr>
          <w:rFonts w:hint="eastAsia" w:ascii="仿宋_GB2312" w:hAnsi="仿宋_GB2312" w:eastAsia="仿宋_GB2312" w:cs="仿宋_GB2312"/>
          <w:sz w:val="28"/>
          <w:szCs w:val="28"/>
          <w:lang w:val="en-US" w:eastAsia="zh-CN"/>
        </w:rPr>
        <w:t>竞租人对质疑不满意的，可以向公告文件载明的监督机构进行投诉。投诉处理期间，竞租人视情况决定是否暂停招租活动。竞租人对招租文件载明的监督机构投诉处理意见不满意的，可向上级监督部门申请复议，复议结论为最终处理意见。</w:t>
      </w:r>
    </w:p>
    <w:p w14:paraId="4E5BDA38">
      <w:pPr>
        <w:widowControl/>
        <w:numPr>
          <w:ilvl w:val="0"/>
          <w:numId w:val="0"/>
        </w:numPr>
        <w:spacing w:line="500" w:lineRule="exact"/>
        <w:ind w:firstLine="548" w:firstLineChars="0"/>
        <w:jc w:val="left"/>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八、替补候选人的适用情形</w:t>
      </w:r>
    </w:p>
    <w:p w14:paraId="3C46FB08">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lang w:val="en-US" w:eastAsia="zh-CN"/>
        </w:rPr>
        <w:t>竞得人</w:t>
      </w:r>
      <w:r>
        <w:rPr>
          <w:rFonts w:hint="default" w:ascii="仿宋_GB2312" w:hAnsi="仿宋_GB2312" w:eastAsia="仿宋_GB2312" w:cs="仿宋_GB2312"/>
          <w:sz w:val="28"/>
          <w:szCs w:val="28"/>
          <w:lang w:val="en-US" w:eastAsia="zh-CN"/>
        </w:rPr>
        <w:t>放弃合作资格，或拒绝与</w:t>
      </w:r>
      <w:r>
        <w:rPr>
          <w:rFonts w:hint="eastAsia" w:ascii="仿宋_GB2312" w:hAnsi="仿宋_GB2312" w:eastAsia="仿宋_GB2312" w:cs="仿宋_GB2312"/>
          <w:sz w:val="28"/>
          <w:szCs w:val="28"/>
          <w:lang w:val="en-US" w:eastAsia="zh-CN"/>
        </w:rPr>
        <w:t>出租人</w:t>
      </w:r>
      <w:r>
        <w:rPr>
          <w:rFonts w:hint="default" w:ascii="仿宋_GB2312" w:hAnsi="仿宋_GB2312" w:eastAsia="仿宋_GB2312" w:cs="仿宋_GB2312"/>
          <w:sz w:val="28"/>
          <w:szCs w:val="28"/>
          <w:lang w:val="en-US" w:eastAsia="zh-CN"/>
        </w:rPr>
        <w:t>签订合同的，或自成交通知书发出之日起三十日内合作单位未签到合同的，</w:t>
      </w:r>
      <w:r>
        <w:rPr>
          <w:rFonts w:hint="eastAsia" w:ascii="仿宋_GB2312" w:hAnsi="仿宋_GB2312" w:eastAsia="仿宋_GB2312" w:cs="仿宋_GB2312"/>
          <w:sz w:val="28"/>
          <w:szCs w:val="28"/>
          <w:lang w:val="en-US" w:eastAsia="zh-CN"/>
        </w:rPr>
        <w:t>管理人</w:t>
      </w:r>
      <w:r>
        <w:rPr>
          <w:rFonts w:hint="default" w:ascii="仿宋_GB2312" w:hAnsi="仿宋_GB2312" w:eastAsia="仿宋_GB2312" w:cs="仿宋_GB2312"/>
          <w:sz w:val="28"/>
          <w:szCs w:val="28"/>
          <w:lang w:val="en-US" w:eastAsia="zh-CN"/>
        </w:rPr>
        <w:t>可以取消其合作资格，并按照</w:t>
      </w:r>
      <w:r>
        <w:rPr>
          <w:rFonts w:hint="eastAsia" w:ascii="仿宋_GB2312" w:hAnsi="仿宋_GB2312" w:eastAsia="仿宋_GB2312" w:cs="仿宋_GB2312"/>
          <w:sz w:val="28"/>
          <w:szCs w:val="28"/>
          <w:lang w:val="en-US" w:eastAsia="zh-CN"/>
        </w:rPr>
        <w:t>报价</w:t>
      </w:r>
      <w:r>
        <w:rPr>
          <w:rFonts w:hint="default" w:ascii="仿宋_GB2312" w:hAnsi="仿宋_GB2312" w:eastAsia="仿宋_GB2312" w:cs="仿宋_GB2312"/>
          <w:sz w:val="28"/>
          <w:szCs w:val="28"/>
          <w:lang w:val="en-US" w:eastAsia="zh-CN"/>
        </w:rPr>
        <w:t>排名的排序，确定下一合作单位，也可以重新开展招</w:t>
      </w:r>
      <w:r>
        <w:rPr>
          <w:rFonts w:hint="eastAsia" w:ascii="仿宋_GB2312" w:hAnsi="仿宋_GB2312" w:eastAsia="仿宋_GB2312" w:cs="仿宋_GB2312"/>
          <w:sz w:val="28"/>
          <w:szCs w:val="28"/>
          <w:lang w:val="en-US" w:eastAsia="zh-CN"/>
        </w:rPr>
        <w:t>租</w:t>
      </w:r>
      <w:r>
        <w:rPr>
          <w:rFonts w:hint="default" w:ascii="仿宋_GB2312" w:hAnsi="仿宋_GB2312" w:eastAsia="仿宋_GB2312" w:cs="仿宋_GB2312"/>
          <w:sz w:val="28"/>
          <w:szCs w:val="28"/>
          <w:lang w:val="en-US" w:eastAsia="zh-CN"/>
        </w:rPr>
        <w:t>活动</w:t>
      </w:r>
      <w:r>
        <w:rPr>
          <w:rFonts w:hint="eastAsia" w:ascii="仿宋_GB2312" w:hAnsi="仿宋_GB2312" w:eastAsia="仿宋_GB2312" w:cs="仿宋_GB2312"/>
          <w:sz w:val="28"/>
          <w:szCs w:val="28"/>
          <w:lang w:val="en-US" w:eastAsia="zh-CN"/>
        </w:rPr>
        <w:t xml:space="preserve">。  </w:t>
      </w:r>
      <w:r>
        <w:rPr>
          <w:rFonts w:hint="eastAsia" w:ascii="仿宋" w:hAnsi="仿宋" w:eastAsia="仿宋" w:cs="仿宋"/>
          <w:sz w:val="28"/>
          <w:szCs w:val="28"/>
          <w:highlight w:val="none"/>
          <w:lang w:val="en-US" w:eastAsia="zh-CN"/>
        </w:rPr>
        <w:t xml:space="preserve">                                                               </w:t>
      </w:r>
    </w:p>
    <w:p w14:paraId="5C995D7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DA1YTY2ZmYyZjQwMzc2YmZlMTlmMGQ0Njc2MWUifQ=="/>
  </w:docVars>
  <w:rsids>
    <w:rsidRoot w:val="51EF405C"/>
    <w:rsid w:val="0413083D"/>
    <w:rsid w:val="088C6294"/>
    <w:rsid w:val="197E1E33"/>
    <w:rsid w:val="1EFA6B5C"/>
    <w:rsid w:val="2BF57BD7"/>
    <w:rsid w:val="37F91411"/>
    <w:rsid w:val="44BF2CE3"/>
    <w:rsid w:val="4627706A"/>
    <w:rsid w:val="4BDF0977"/>
    <w:rsid w:val="51EF405C"/>
    <w:rsid w:val="58FA655B"/>
    <w:rsid w:val="5C1B1A40"/>
    <w:rsid w:val="645739AA"/>
    <w:rsid w:val="681A3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1"/>
    </w:rPr>
  </w:style>
  <w:style w:type="paragraph" w:styleId="3">
    <w:name w:val="Body Text First Indent"/>
    <w:basedOn w:val="1"/>
    <w:next w:val="1"/>
    <w:qFormat/>
    <w:uiPriority w:val="0"/>
    <w:pPr>
      <w:tabs>
        <w:tab w:val="left" w:pos="420"/>
      </w:tabs>
      <w:adjustRightInd/>
      <w:ind w:firstLine="560" w:firstLineChars="200"/>
      <w:jc w:val="left"/>
      <w:textAlignment w:val="auto"/>
    </w:pPr>
    <w:rPr>
      <w:rFonts w:ascii="宋体" w:hAnsi="宋体" w:eastAsia="宋体" w:cs="宋体"/>
      <w:snapToGrid w:val="0"/>
      <w:color w:val="000000"/>
      <w:kern w:val="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4840</Words>
  <Characters>4942</Characters>
  <Lines>0</Lines>
  <Paragraphs>0</Paragraphs>
  <TotalTime>12</TotalTime>
  <ScaleCrop>false</ScaleCrop>
  <LinksUpToDate>false</LinksUpToDate>
  <CharactersWithSpaces>5279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2026-05-18T05:16:00Z</dcterms:created>
  <dc:creator>WPS_1711500105</dc:creator>
  <cp:lastModifiedBy>猪仔哥</cp:lastModifiedBy>
  <dcterms:modified xsi:type="dcterms:W3CDTF">2026-07-22T06:37:19Z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E009D036CDA845C99EC9C29077333B0B_13</vt:lpwstr>
  </property>
  <property fmtid="{D5CDD505-2E9C-101B-9397-08002B2CF9AE}" pid="4" name="KSOTemplateDocerSaveRecord">
    <vt:lpwstr>eyJoZGlkIjoiMzYyYzlmMmE0NzU5NTBiNWQxZDBlYzhkYjFkYzAxZjYiLCJ1c2VySWQiOiI0MzAyNzkyNDkifQ==</vt:lpwstr>
  </property>
</Properties>
</file>