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EEFC7">
      <w:pPr>
        <w:wordWrap w:val="0"/>
        <w:spacing w:line="360" w:lineRule="auto"/>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21"/>
          <w:szCs w:val="21"/>
          <w:highlight w:val="none"/>
        </w:rPr>
        <w:t>合同编号：</w:t>
      </w:r>
    </w:p>
    <w:p w14:paraId="47F428B2">
      <w:pPr>
        <w:spacing w:line="360" w:lineRule="auto"/>
        <w:rPr>
          <w:rFonts w:hint="eastAsia" w:ascii="仿宋_GB2312" w:hAnsi="仿宋_GB2312" w:eastAsia="仿宋_GB2312" w:cs="仿宋_GB2312"/>
          <w:color w:val="auto"/>
          <w:highlight w:val="none"/>
        </w:rPr>
      </w:pPr>
    </w:p>
    <w:p w14:paraId="10B40C9A">
      <w:pPr>
        <w:spacing w:line="360" w:lineRule="auto"/>
        <w:rPr>
          <w:rFonts w:hint="eastAsia" w:ascii="仿宋_GB2312" w:hAnsi="仿宋_GB2312" w:eastAsia="仿宋_GB2312" w:cs="仿宋_GB2312"/>
          <w:color w:val="auto"/>
          <w:highlight w:val="none"/>
        </w:rPr>
      </w:pPr>
    </w:p>
    <w:p w14:paraId="4A608EC3">
      <w:pPr>
        <w:spacing w:line="360" w:lineRule="auto"/>
        <w:jc w:val="center"/>
        <w:rPr>
          <w:rFonts w:hint="eastAsia" w:ascii="仿宋_GB2312" w:hAnsi="仿宋_GB2312" w:eastAsia="仿宋_GB2312" w:cs="仿宋_GB2312"/>
          <w:b/>
          <w:color w:val="auto"/>
          <w:sz w:val="32"/>
          <w:highlight w:val="none"/>
        </w:rPr>
      </w:pPr>
    </w:p>
    <w:p w14:paraId="58E173A6">
      <w:pPr>
        <w:spacing w:line="360" w:lineRule="auto"/>
        <w:jc w:val="center"/>
        <w:rPr>
          <w:rFonts w:hint="eastAsia" w:ascii="仿宋_GB2312" w:hAnsi="仿宋_GB2312" w:eastAsia="仿宋_GB2312" w:cs="仿宋_GB2312"/>
          <w:b/>
          <w:color w:val="auto"/>
          <w:sz w:val="32"/>
          <w:highlight w:val="none"/>
        </w:rPr>
      </w:pPr>
      <w:bookmarkStart w:id="2" w:name="_GoBack"/>
      <w:bookmarkEnd w:id="2"/>
    </w:p>
    <w:p w14:paraId="65F40F33">
      <w:pPr>
        <w:spacing w:line="360" w:lineRule="auto"/>
        <w:ind w:left="357" w:right="322" w:rightChars="134"/>
        <w:jc w:val="center"/>
        <w:rPr>
          <w:rFonts w:hint="eastAsia" w:ascii="仿宋_GB2312" w:hAnsi="仿宋_GB2312" w:eastAsia="仿宋_GB2312" w:cs="仿宋_GB2312"/>
          <w:b/>
          <w:color w:val="auto"/>
          <w:spacing w:val="26"/>
          <w:kern w:val="15"/>
          <w:sz w:val="48"/>
          <w:szCs w:val="48"/>
          <w:highlight w:val="none"/>
        </w:rPr>
      </w:pPr>
      <w:r>
        <w:rPr>
          <w:rFonts w:hint="eastAsia" w:ascii="仿宋_GB2312" w:hAnsi="仿宋_GB2312" w:eastAsia="仿宋_GB2312" w:cs="仿宋_GB2312"/>
          <w:b/>
          <w:color w:val="auto"/>
          <w:spacing w:val="26"/>
          <w:kern w:val="15"/>
          <w:sz w:val="48"/>
          <w:szCs w:val="48"/>
          <w:highlight w:val="none"/>
          <w:lang w:val="en-US" w:eastAsia="zh-CN"/>
        </w:rPr>
        <w:t>文化</w:t>
      </w:r>
      <w:r>
        <w:rPr>
          <w:rFonts w:hint="eastAsia" w:ascii="仿宋_GB2312" w:hAnsi="仿宋_GB2312" w:eastAsia="仿宋_GB2312" w:cs="仿宋_GB2312"/>
          <w:b/>
          <w:color w:val="auto"/>
          <w:spacing w:val="26"/>
          <w:kern w:val="15"/>
          <w:sz w:val="48"/>
          <w:szCs w:val="48"/>
          <w:highlight w:val="none"/>
        </w:rPr>
        <w:t>中心项目</w:t>
      </w:r>
    </w:p>
    <w:p w14:paraId="61453B1B">
      <w:pPr>
        <w:spacing w:line="360" w:lineRule="auto"/>
        <w:ind w:left="357" w:right="322" w:rightChars="134"/>
        <w:jc w:val="center"/>
        <w:rPr>
          <w:rFonts w:hint="eastAsia" w:ascii="仿宋_GB2312" w:hAnsi="仿宋_GB2312" w:eastAsia="仿宋_GB2312" w:cs="仿宋_GB2312"/>
          <w:b/>
          <w:color w:val="auto"/>
          <w:spacing w:val="26"/>
          <w:kern w:val="15"/>
          <w:sz w:val="48"/>
          <w:szCs w:val="48"/>
          <w:highlight w:val="none"/>
        </w:rPr>
      </w:pPr>
      <w:r>
        <w:rPr>
          <w:rFonts w:hint="eastAsia" w:ascii="仿宋_GB2312" w:hAnsi="仿宋_GB2312" w:eastAsia="仿宋_GB2312" w:cs="仿宋_GB2312"/>
          <w:b/>
          <w:color w:val="auto"/>
          <w:spacing w:val="26"/>
          <w:kern w:val="15"/>
          <w:sz w:val="48"/>
          <w:szCs w:val="48"/>
          <w:highlight w:val="none"/>
        </w:rPr>
        <w:t>房屋租赁合同</w:t>
      </w:r>
    </w:p>
    <w:p w14:paraId="04BEC23B">
      <w:pPr>
        <w:spacing w:line="360" w:lineRule="auto"/>
        <w:rPr>
          <w:rFonts w:hint="eastAsia" w:ascii="仿宋_GB2312" w:hAnsi="仿宋_GB2312" w:eastAsia="仿宋_GB2312" w:cs="仿宋_GB2312"/>
          <w:color w:val="auto"/>
          <w:highlight w:val="none"/>
        </w:rPr>
      </w:pPr>
    </w:p>
    <w:p w14:paraId="4BD4C90A">
      <w:pPr>
        <w:spacing w:line="360" w:lineRule="auto"/>
        <w:rPr>
          <w:rFonts w:hint="eastAsia" w:ascii="仿宋_GB2312" w:hAnsi="仿宋_GB2312" w:eastAsia="仿宋_GB2312" w:cs="仿宋_GB2312"/>
          <w:color w:val="auto"/>
          <w:highlight w:val="none"/>
        </w:rPr>
      </w:pPr>
    </w:p>
    <w:p w14:paraId="61A0CF82">
      <w:pPr>
        <w:spacing w:line="360" w:lineRule="auto"/>
        <w:rPr>
          <w:rFonts w:hint="eastAsia" w:ascii="仿宋_GB2312" w:hAnsi="仿宋_GB2312" w:eastAsia="仿宋_GB2312" w:cs="仿宋_GB2312"/>
          <w:color w:val="auto"/>
          <w:highlight w:val="none"/>
        </w:rPr>
      </w:pPr>
    </w:p>
    <w:p w14:paraId="67403BE3">
      <w:pPr>
        <w:spacing w:line="360" w:lineRule="auto"/>
        <w:rPr>
          <w:rFonts w:hint="eastAsia" w:ascii="仿宋_GB2312" w:hAnsi="仿宋_GB2312" w:eastAsia="仿宋_GB2312" w:cs="仿宋_GB2312"/>
          <w:color w:val="auto"/>
          <w:highlight w:val="none"/>
        </w:rPr>
      </w:pPr>
    </w:p>
    <w:p w14:paraId="72AF2F3A">
      <w:pPr>
        <w:spacing w:line="360" w:lineRule="auto"/>
        <w:rPr>
          <w:rFonts w:hint="eastAsia" w:ascii="仿宋_GB2312" w:hAnsi="仿宋_GB2312" w:eastAsia="仿宋_GB2312" w:cs="仿宋_GB2312"/>
          <w:color w:val="auto"/>
          <w:highlight w:val="none"/>
        </w:rPr>
      </w:pPr>
    </w:p>
    <w:p w14:paraId="7EB71408">
      <w:pPr>
        <w:spacing w:line="360" w:lineRule="auto"/>
        <w:rPr>
          <w:rFonts w:hint="eastAsia" w:ascii="仿宋_GB2312" w:hAnsi="仿宋_GB2312" w:eastAsia="仿宋_GB2312" w:cs="仿宋_GB2312"/>
          <w:color w:val="auto"/>
          <w:highlight w:val="none"/>
        </w:rPr>
      </w:pPr>
    </w:p>
    <w:p w14:paraId="23A193F8">
      <w:pPr>
        <w:spacing w:line="360" w:lineRule="auto"/>
        <w:rPr>
          <w:rFonts w:hint="eastAsia" w:ascii="仿宋_GB2312" w:hAnsi="仿宋_GB2312" w:eastAsia="仿宋_GB2312" w:cs="仿宋_GB2312"/>
          <w:color w:val="auto"/>
          <w:highlight w:val="none"/>
        </w:rPr>
      </w:pPr>
    </w:p>
    <w:p w14:paraId="39C9D507">
      <w:pPr>
        <w:spacing w:line="360" w:lineRule="auto"/>
        <w:rPr>
          <w:rFonts w:hint="eastAsia" w:ascii="仿宋_GB2312" w:hAnsi="仿宋_GB2312" w:eastAsia="仿宋_GB2312" w:cs="仿宋_GB2312"/>
          <w:color w:val="auto"/>
          <w:highlight w:val="none"/>
        </w:rPr>
      </w:pPr>
    </w:p>
    <w:p w14:paraId="119319C7">
      <w:pPr>
        <w:spacing w:line="360" w:lineRule="auto"/>
        <w:rPr>
          <w:rFonts w:hint="eastAsia" w:ascii="仿宋_GB2312" w:hAnsi="仿宋_GB2312" w:eastAsia="仿宋_GB2312" w:cs="仿宋_GB2312"/>
          <w:color w:val="auto"/>
          <w:highlight w:val="none"/>
        </w:rPr>
      </w:pPr>
    </w:p>
    <w:p w14:paraId="1038AB8F">
      <w:pPr>
        <w:spacing w:line="360" w:lineRule="auto"/>
        <w:rPr>
          <w:rFonts w:hint="eastAsia" w:ascii="仿宋_GB2312" w:hAnsi="仿宋_GB2312" w:eastAsia="仿宋_GB2312" w:cs="仿宋_GB2312"/>
          <w:color w:val="auto"/>
          <w:highlight w:val="none"/>
        </w:rPr>
      </w:pPr>
    </w:p>
    <w:p w14:paraId="34B9FA43">
      <w:pPr>
        <w:spacing w:line="360" w:lineRule="auto"/>
        <w:rPr>
          <w:rFonts w:hint="eastAsia" w:ascii="仿宋_GB2312" w:hAnsi="仿宋_GB2312" w:eastAsia="仿宋_GB2312" w:cs="仿宋_GB2312"/>
          <w:color w:val="auto"/>
          <w:highlight w:val="none"/>
        </w:rPr>
      </w:pPr>
    </w:p>
    <w:p w14:paraId="0D6766AB">
      <w:pPr>
        <w:spacing w:line="360" w:lineRule="auto"/>
        <w:rPr>
          <w:rFonts w:hint="eastAsia" w:ascii="仿宋_GB2312" w:hAnsi="仿宋_GB2312" w:eastAsia="仿宋_GB2312" w:cs="仿宋_GB2312"/>
          <w:color w:val="auto"/>
          <w:highlight w:val="none"/>
        </w:rPr>
      </w:pPr>
    </w:p>
    <w:p w14:paraId="09AFDDE5">
      <w:pPr>
        <w:spacing w:line="360" w:lineRule="auto"/>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甲方（出租方）：</w:t>
      </w:r>
      <w:r>
        <w:rPr>
          <w:rFonts w:hint="eastAsia" w:ascii="仿宋_GB2312" w:hAnsi="仿宋_GB2312" w:eastAsia="仿宋_GB2312" w:cs="仿宋_GB2312"/>
          <w:b/>
          <w:color w:val="auto"/>
          <w:sz w:val="28"/>
          <w:szCs w:val="28"/>
          <w:highlight w:val="none"/>
          <w:lang w:eastAsia="zh-CN"/>
        </w:rPr>
        <w:t>佛山市顺博城市运营服务有限公司</w:t>
      </w:r>
    </w:p>
    <w:p w14:paraId="0FD92A57">
      <w:pPr>
        <w:spacing w:line="360" w:lineRule="auto"/>
        <w:ind w:firstLine="843" w:firstLineChars="300"/>
        <w:jc w:val="left"/>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乙方（承租方）：</w:t>
      </w:r>
    </w:p>
    <w:p w14:paraId="489F4BEF">
      <w:pPr>
        <w:spacing w:line="360" w:lineRule="auto"/>
        <w:jc w:val="center"/>
        <w:rPr>
          <w:rFonts w:hint="eastAsia" w:ascii="仿宋_GB2312" w:hAnsi="仿宋_GB2312" w:eastAsia="仿宋_GB2312" w:cs="仿宋_GB2312"/>
          <w:b/>
          <w:color w:val="auto"/>
          <w:sz w:val="28"/>
          <w:szCs w:val="28"/>
          <w:highlight w:val="none"/>
        </w:rPr>
      </w:pPr>
    </w:p>
    <w:p w14:paraId="3EF24448">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 w:val="28"/>
          <w:szCs w:val="28"/>
          <w:highlight w:val="none"/>
        </w:rPr>
        <w:t>签订日期：  202</w:t>
      </w:r>
      <w:r>
        <w:rPr>
          <w:rFonts w:ascii="仿宋_GB2312" w:hAnsi="仿宋_GB2312" w:eastAsia="仿宋_GB2312" w:cs="仿宋_GB2312"/>
          <w:b/>
          <w:color w:val="auto"/>
          <w:sz w:val="28"/>
          <w:szCs w:val="28"/>
          <w:highlight w:val="none"/>
        </w:rPr>
        <w:t>6</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color w:val="auto"/>
          <w:sz w:val="28"/>
          <w:szCs w:val="28"/>
          <w:highlight w:val="none"/>
        </w:rPr>
        <w:t>月</w:t>
      </w:r>
    </w:p>
    <w:p w14:paraId="5FA7CD1B">
      <w:pPr>
        <w:tabs>
          <w:tab w:val="left" w:pos="540"/>
        </w:tabs>
        <w:snapToGrid w:val="0"/>
        <w:spacing w:line="360" w:lineRule="auto"/>
        <w:rPr>
          <w:rFonts w:hint="eastAsia" w:ascii="仿宋_GB2312" w:hAnsi="仿宋_GB2312" w:eastAsia="仿宋_GB2312" w:cs="仿宋_GB2312"/>
          <w:color w:val="auto"/>
          <w:highlight w:val="none"/>
        </w:rPr>
      </w:pPr>
    </w:p>
    <w:p w14:paraId="47B20F8A">
      <w:pPr>
        <w:rPr>
          <w:rFonts w:hint="eastAsia" w:ascii="仿宋_GB2312" w:hAnsi="仿宋_GB2312" w:eastAsia="仿宋_GB2312" w:cs="仿宋_GB2312"/>
          <w:color w:val="auto"/>
          <w:highlight w:val="none"/>
        </w:rPr>
      </w:pPr>
    </w:p>
    <w:p w14:paraId="048032B8">
      <w:pPr>
        <w:tabs>
          <w:tab w:val="left" w:pos="1260"/>
          <w:tab w:val="left" w:pos="1440"/>
          <w:tab w:val="left" w:pos="1800"/>
          <w:tab w:val="left" w:pos="5885"/>
        </w:tabs>
        <w:spacing w:before="156" w:beforeLines="50" w:after="156" w:afterLines="50" w:line="360" w:lineRule="exact"/>
        <w:ind w:left="361" w:right="322" w:rightChars="134" w:hanging="361" w:hangingChars="150"/>
        <w:rPr>
          <w:rFonts w:hint="eastAsia" w:ascii="仿宋_GB2312" w:hAnsi="仿宋_GB2312" w:eastAsia="仿宋_GB2312" w:cs="仿宋_GB2312"/>
          <w:b/>
          <w:color w:val="auto"/>
          <w:sz w:val="28"/>
          <w:szCs w:val="28"/>
          <w:highlight w:val="none"/>
          <w:u w:val="single"/>
          <w:lang w:eastAsia="zh-CN"/>
        </w:rPr>
      </w:pPr>
      <w:r>
        <w:rPr>
          <w:rFonts w:hint="eastAsia" w:ascii="仿宋_GB2312" w:hAnsi="仿宋_GB2312" w:eastAsia="仿宋_GB2312" w:cs="仿宋_GB2312"/>
          <w:b/>
          <w:color w:val="auto"/>
          <w:highlight w:val="none"/>
        </w:rPr>
        <w:br w:type="page"/>
      </w:r>
      <w:r>
        <w:rPr>
          <w:rFonts w:hint="eastAsia" w:ascii="仿宋_GB2312" w:hAnsi="仿宋_GB2312" w:eastAsia="仿宋_GB2312" w:cs="仿宋_GB2312"/>
          <w:b/>
          <w:color w:val="auto"/>
          <w:sz w:val="28"/>
          <w:szCs w:val="28"/>
          <w:highlight w:val="none"/>
        </w:rPr>
        <w:t>甲方(</w:t>
      </w:r>
      <w:r>
        <w:rPr>
          <w:rFonts w:hint="eastAsia" w:ascii="仿宋_GB2312" w:hAnsi="仿宋_GB2312" w:eastAsia="仿宋_GB2312" w:cs="仿宋_GB2312"/>
          <w:b/>
          <w:color w:val="auto"/>
          <w:sz w:val="28"/>
          <w:szCs w:val="28"/>
          <w:highlight w:val="none"/>
          <w:lang w:eastAsia="zh-HK"/>
        </w:rPr>
        <w:t>出租</w:t>
      </w:r>
      <w:r>
        <w:rPr>
          <w:rFonts w:hint="eastAsia" w:ascii="仿宋_GB2312" w:hAnsi="仿宋_GB2312" w:eastAsia="仿宋_GB2312" w:cs="仿宋_GB2312"/>
          <w:b/>
          <w:color w:val="auto"/>
          <w:sz w:val="28"/>
          <w:szCs w:val="28"/>
          <w:highlight w:val="none"/>
        </w:rPr>
        <w:t>方)</w:t>
      </w:r>
      <w:r>
        <w:rPr>
          <w:rFonts w:hint="eastAsia" w:ascii="仿宋_GB2312" w:hAnsi="仿宋_GB2312" w:eastAsia="仿宋_GB2312" w:cs="仿宋_GB2312"/>
          <w:b/>
          <w:color w:val="auto"/>
          <w:sz w:val="28"/>
          <w:szCs w:val="28"/>
          <w:highlight w:val="none"/>
          <w:lang w:eastAsia="zh-HK"/>
        </w:rPr>
        <w:t>：</w:t>
      </w:r>
      <w:r>
        <w:rPr>
          <w:rFonts w:hint="eastAsia" w:ascii="仿宋_GB2312" w:hAnsi="仿宋_GB2312" w:eastAsia="仿宋_GB2312" w:cs="仿宋_GB2312"/>
          <w:b/>
          <w:color w:val="auto"/>
          <w:sz w:val="28"/>
          <w:szCs w:val="28"/>
          <w:highlight w:val="none"/>
          <w:lang w:eastAsia="zh-CN"/>
        </w:rPr>
        <w:t>佛山市顺博城市运营服务有限公司</w:t>
      </w:r>
    </w:p>
    <w:p w14:paraId="7E2EC741">
      <w:pPr>
        <w:tabs>
          <w:tab w:val="left" w:pos="1260"/>
          <w:tab w:val="left" w:pos="1440"/>
          <w:tab w:val="left" w:pos="1800"/>
          <w:tab w:val="left" w:pos="5885"/>
        </w:tabs>
        <w:spacing w:before="156" w:beforeLines="50" w:after="156" w:afterLines="50" w:line="360" w:lineRule="exact"/>
        <w:ind w:left="360" w:right="322" w:rightChars="134" w:hanging="360" w:hangingChars="150"/>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szCs w:val="24"/>
          <w:highlight w:val="none"/>
        </w:rPr>
        <w:t>统一社会信用代码：</w:t>
      </w:r>
      <w:r>
        <w:rPr>
          <w:rFonts w:hint="eastAsia" w:ascii="仿宋_GB2312" w:hAnsi="仿宋_GB2312" w:eastAsia="仿宋_GB2312" w:cs="仿宋_GB2312"/>
          <w:color w:val="auto"/>
          <w:szCs w:val="24"/>
          <w:highlight w:val="none"/>
          <w:lang w:eastAsia="zh-CN"/>
        </w:rPr>
        <w:t>4</w:t>
      </w:r>
      <w:r>
        <w:rPr>
          <w:rFonts w:hint="eastAsia" w:ascii="仿宋_GB2312" w:hAnsi="仿宋_GB2312" w:eastAsia="仿宋_GB2312" w:cs="仿宋_GB2312"/>
          <w:color w:val="auto"/>
          <w:szCs w:val="24"/>
          <w:highlight w:val="none"/>
        </w:rPr>
        <w:t>14406005536106502</w:t>
      </w:r>
    </w:p>
    <w:p w14:paraId="6B6FE005">
      <w:pPr>
        <w:tabs>
          <w:tab w:val="left" w:pos="1260"/>
          <w:tab w:val="left" w:pos="1440"/>
          <w:tab w:val="left" w:pos="1800"/>
          <w:tab w:val="left" w:pos="5885"/>
        </w:tabs>
        <w:spacing w:before="156" w:beforeLines="50" w:after="156" w:afterLines="50" w:line="360" w:lineRule="exact"/>
        <w:ind w:left="360" w:right="322" w:rightChars="134" w:hanging="360" w:hangingChars="150"/>
        <w:rPr>
          <w:rFonts w:hint="default" w:ascii="仿宋_GB2312" w:hAnsi="仿宋_GB2312" w:eastAsia="仿宋_GB2312" w:cs="仿宋_GB2312"/>
          <w:color w:val="auto"/>
          <w:kern w:val="0"/>
          <w:szCs w:val="24"/>
          <w:highlight w:val="none"/>
          <w:lang w:val="en-US" w:eastAsia="zh-CN"/>
        </w:rPr>
      </w:pPr>
      <w:r>
        <w:rPr>
          <w:rFonts w:hint="eastAsia" w:ascii="仿宋_GB2312" w:hAnsi="仿宋_GB2312" w:eastAsia="仿宋_GB2312" w:cs="仿宋_GB2312"/>
          <w:color w:val="auto"/>
          <w:szCs w:val="24"/>
          <w:highlight w:val="none"/>
        </w:rPr>
        <w:t>法定代表人：</w:t>
      </w:r>
      <w:r>
        <w:rPr>
          <w:rFonts w:hint="eastAsia" w:ascii="仿宋_GB2312" w:hAnsi="仿宋_GB2312" w:eastAsia="仿宋_GB2312" w:cs="仿宋_GB2312"/>
          <w:color w:val="auto"/>
          <w:szCs w:val="24"/>
          <w:highlight w:val="none"/>
          <w:lang w:val="en-US" w:eastAsia="zh-CN"/>
        </w:rPr>
        <w:t>冯海</w:t>
      </w:r>
    </w:p>
    <w:p w14:paraId="2DD00E33">
      <w:pPr>
        <w:tabs>
          <w:tab w:val="left" w:pos="1260"/>
          <w:tab w:val="left" w:pos="1440"/>
          <w:tab w:val="left" w:pos="1800"/>
          <w:tab w:val="left" w:pos="5885"/>
        </w:tabs>
        <w:spacing w:before="156" w:beforeLines="50" w:after="156" w:afterLines="50" w:line="360" w:lineRule="exact"/>
        <w:ind w:left="360" w:right="322" w:rightChars="134" w:hanging="360" w:hangingChars="15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联系</w:t>
      </w:r>
      <w:r>
        <w:rPr>
          <w:rFonts w:hint="eastAsia" w:ascii="仿宋_GB2312" w:hAnsi="仿宋_GB2312" w:eastAsia="仿宋_GB2312" w:cs="仿宋_GB2312"/>
          <w:color w:val="auto"/>
          <w:szCs w:val="24"/>
          <w:highlight w:val="none"/>
        </w:rPr>
        <w:t>地址：佛山市顺德区北滘镇高村村裕和东路102号</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rPr>
        <w:t>号楼</w:t>
      </w:r>
      <w:r>
        <w:rPr>
          <w:rFonts w:hint="eastAsia" w:ascii="仿宋_GB2312" w:hAnsi="仿宋_GB2312" w:eastAsia="仿宋_GB2312" w:cs="仿宋_GB2312"/>
          <w:color w:val="auto"/>
          <w:szCs w:val="24"/>
          <w:highlight w:val="none"/>
          <w:lang w:val="en-US" w:eastAsia="zh-CN"/>
        </w:rPr>
        <w:t>8</w:t>
      </w:r>
      <w:r>
        <w:rPr>
          <w:rFonts w:hint="eastAsia" w:ascii="仿宋_GB2312" w:hAnsi="仿宋_GB2312" w:eastAsia="仿宋_GB2312" w:cs="仿宋_GB2312"/>
          <w:color w:val="auto"/>
          <w:szCs w:val="24"/>
          <w:highlight w:val="none"/>
        </w:rPr>
        <w:t>楼</w:t>
      </w:r>
    </w:p>
    <w:p w14:paraId="64CF80E0">
      <w:pPr>
        <w:tabs>
          <w:tab w:val="left" w:pos="1260"/>
          <w:tab w:val="left" w:pos="1440"/>
          <w:tab w:val="left" w:pos="1800"/>
          <w:tab w:val="left" w:pos="5885"/>
        </w:tabs>
        <w:spacing w:before="156" w:beforeLines="50" w:after="156" w:afterLines="50" w:line="360" w:lineRule="exact"/>
        <w:ind w:left="360" w:right="322" w:rightChars="134" w:hanging="360" w:hangingChars="150"/>
        <w:rPr>
          <w:rFonts w:ascii="仿宋_GB2312" w:hAnsi="仿宋_GB2312" w:eastAsia="仿宋_GB2312" w:cs="仿宋_GB2312"/>
          <w:color w:val="auto"/>
          <w:kern w:val="0"/>
          <w:szCs w:val="24"/>
          <w:highlight w:val="none"/>
        </w:rPr>
      </w:pPr>
      <w:r>
        <w:rPr>
          <w:rFonts w:hint="eastAsia" w:ascii="仿宋_GB2312" w:hAnsi="仿宋_GB2312" w:eastAsia="仿宋_GB2312" w:cs="仿宋_GB2312"/>
          <w:color w:val="auto"/>
          <w:szCs w:val="24"/>
          <w:highlight w:val="none"/>
        </w:rPr>
        <w:t>联系电话：0757-</w:t>
      </w:r>
      <w:r>
        <w:rPr>
          <w:rFonts w:hint="eastAsia" w:ascii="仿宋_GB2312" w:hAnsi="仿宋_GB2312" w:eastAsia="仿宋_GB2312" w:cs="仿宋_GB2312"/>
          <w:color w:val="auto"/>
          <w:kern w:val="0"/>
          <w:szCs w:val="24"/>
          <w:highlight w:val="none"/>
        </w:rPr>
        <w:t>2</w:t>
      </w:r>
      <w:r>
        <w:rPr>
          <w:rFonts w:hint="eastAsia" w:ascii="仿宋_GB2312" w:hAnsi="仿宋_GB2312" w:eastAsia="仿宋_GB2312" w:cs="仿宋_GB2312"/>
          <w:color w:val="auto"/>
          <w:kern w:val="0"/>
          <w:szCs w:val="24"/>
          <w:highlight w:val="none"/>
          <w:lang w:eastAsia="zh-CN"/>
        </w:rPr>
        <w:t>4</w:t>
      </w:r>
      <w:r>
        <w:rPr>
          <w:rFonts w:hint="eastAsia" w:ascii="仿宋_GB2312" w:hAnsi="仿宋_GB2312" w:eastAsia="仿宋_GB2312" w:cs="仿宋_GB2312"/>
          <w:color w:val="auto"/>
          <w:kern w:val="0"/>
          <w:szCs w:val="24"/>
          <w:highlight w:val="none"/>
        </w:rPr>
        <w:t>838202</w:t>
      </w:r>
    </w:p>
    <w:p w14:paraId="3832DB8C">
      <w:pPr>
        <w:tabs>
          <w:tab w:val="left" w:pos="1260"/>
          <w:tab w:val="left" w:pos="1440"/>
          <w:tab w:val="left" w:pos="1800"/>
          <w:tab w:val="left" w:pos="5885"/>
        </w:tabs>
        <w:spacing w:before="156" w:beforeLines="50" w:after="156" w:afterLines="50" w:line="360" w:lineRule="exact"/>
        <w:ind w:left="360" w:right="322" w:rightChars="134" w:hanging="360" w:hangingChars="150"/>
        <w:rPr>
          <w:rFonts w:hint="eastAsia" w:ascii="仿宋_GB2312" w:hAnsi="仿宋_GB2312" w:eastAsia="仿宋_GB2312" w:cs="仿宋_GB2312"/>
          <w:color w:val="auto"/>
          <w:kern w:val="0"/>
          <w:szCs w:val="21"/>
          <w:highlight w:val="none"/>
        </w:rPr>
      </w:pPr>
    </w:p>
    <w:p w14:paraId="0F4C2D1C">
      <w:pPr>
        <w:tabs>
          <w:tab w:val="left" w:pos="1260"/>
          <w:tab w:val="left" w:pos="1440"/>
          <w:tab w:val="left" w:pos="1800"/>
          <w:tab w:val="left" w:pos="5885"/>
        </w:tabs>
        <w:spacing w:before="156" w:beforeLines="50" w:after="156" w:afterLines="50" w:line="360" w:lineRule="exact"/>
        <w:ind w:left="422" w:right="322" w:rightChars="134" w:hanging="422" w:hangingChars="150"/>
        <w:rPr>
          <w:rFonts w:hint="eastAsia" w:ascii="仿宋_GB2312" w:hAnsi="仿宋_GB2312" w:eastAsia="仿宋_GB2312" w:cs="仿宋_GB2312"/>
          <w:b/>
          <w:bCs/>
          <w:color w:val="auto"/>
          <w:sz w:val="28"/>
          <w:szCs w:val="28"/>
          <w:highlight w:val="none"/>
          <w:u w:val="single"/>
          <w:lang w:eastAsia="zh-CN"/>
        </w:rPr>
      </w:pPr>
      <w:r>
        <w:rPr>
          <w:rFonts w:hint="eastAsia" w:ascii="仿宋_GB2312" w:hAnsi="仿宋_GB2312" w:eastAsia="仿宋_GB2312" w:cs="仿宋_GB2312"/>
          <w:b/>
          <w:color w:val="auto"/>
          <w:sz w:val="28"/>
          <w:szCs w:val="28"/>
          <w:highlight w:val="none"/>
        </w:rPr>
        <w:t>乙方(</w:t>
      </w:r>
      <w:r>
        <w:rPr>
          <w:rFonts w:hint="eastAsia" w:ascii="仿宋_GB2312" w:hAnsi="仿宋_GB2312" w:eastAsia="仿宋_GB2312" w:cs="仿宋_GB2312"/>
          <w:b/>
          <w:color w:val="auto"/>
          <w:sz w:val="28"/>
          <w:szCs w:val="28"/>
          <w:highlight w:val="none"/>
          <w:lang w:eastAsia="zh-HK"/>
        </w:rPr>
        <w:t>承租</w:t>
      </w:r>
      <w:r>
        <w:rPr>
          <w:rFonts w:hint="eastAsia" w:ascii="仿宋_GB2312" w:hAnsi="仿宋_GB2312" w:eastAsia="仿宋_GB2312" w:cs="仿宋_GB2312"/>
          <w:b/>
          <w:color w:val="auto"/>
          <w:sz w:val="28"/>
          <w:szCs w:val="28"/>
          <w:highlight w:val="none"/>
        </w:rPr>
        <w:t>方</w:t>
      </w:r>
      <w:r>
        <w:rPr>
          <w:rFonts w:hint="eastAsia" w:ascii="仿宋_GB2312" w:hAnsi="仿宋_GB2312" w:eastAsia="仿宋_GB2312" w:cs="仿宋_GB2312"/>
          <w:b/>
          <w:color w:val="auto"/>
          <w:sz w:val="28"/>
          <w:szCs w:val="28"/>
          <w:highlight w:val="none"/>
          <w:lang w:eastAsia="zh-HK"/>
        </w:rPr>
        <w:t>)：</w:t>
      </w:r>
    </w:p>
    <w:p w14:paraId="6B17229F">
      <w:pPr>
        <w:tabs>
          <w:tab w:val="left" w:pos="1260"/>
          <w:tab w:val="left" w:pos="1440"/>
          <w:tab w:val="left" w:pos="1800"/>
          <w:tab w:val="left" w:pos="5885"/>
        </w:tabs>
        <w:spacing w:before="156" w:beforeLines="50" w:after="156" w:afterLines="50" w:line="360" w:lineRule="exact"/>
        <w:ind w:left="360" w:right="322" w:rightChars="134" w:hanging="360" w:hangingChars="15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统一社会信用代码：</w:t>
      </w:r>
    </w:p>
    <w:p w14:paraId="248BB2B0">
      <w:pPr>
        <w:tabs>
          <w:tab w:val="left" w:pos="1260"/>
          <w:tab w:val="left" w:pos="1440"/>
          <w:tab w:val="left" w:pos="1800"/>
          <w:tab w:val="left" w:pos="5885"/>
        </w:tabs>
        <w:spacing w:before="156" w:beforeLines="50" w:after="156" w:afterLines="50" w:line="360" w:lineRule="exact"/>
        <w:ind w:left="360" w:right="322" w:rightChars="134" w:hanging="360" w:hangingChars="15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法定代表人：</w:t>
      </w:r>
    </w:p>
    <w:p w14:paraId="481447C2">
      <w:pPr>
        <w:tabs>
          <w:tab w:val="left" w:pos="1260"/>
          <w:tab w:val="left" w:pos="1440"/>
          <w:tab w:val="left" w:pos="1800"/>
          <w:tab w:val="left" w:pos="5885"/>
        </w:tabs>
        <w:spacing w:before="156" w:beforeLines="50" w:after="156" w:afterLines="50" w:line="360" w:lineRule="exact"/>
        <w:ind w:left="720" w:right="322" w:rightChars="134" w:hanging="720" w:hangingChars="3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地址：</w:t>
      </w:r>
    </w:p>
    <w:p w14:paraId="54663C45">
      <w:pPr>
        <w:tabs>
          <w:tab w:val="left" w:pos="1260"/>
          <w:tab w:val="left" w:pos="1440"/>
          <w:tab w:val="left" w:pos="1800"/>
          <w:tab w:val="left" w:pos="5885"/>
        </w:tabs>
        <w:spacing w:before="156" w:beforeLines="50" w:after="156" w:afterLines="50" w:line="360" w:lineRule="exact"/>
        <w:ind w:left="360" w:right="322" w:rightChars="134" w:hanging="360" w:hangingChars="15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联系电话：</w:t>
      </w:r>
    </w:p>
    <w:p w14:paraId="4DF27D04">
      <w:pPr>
        <w:tabs>
          <w:tab w:val="left" w:pos="1260"/>
          <w:tab w:val="left" w:pos="1440"/>
          <w:tab w:val="left" w:pos="1800"/>
        </w:tabs>
        <w:spacing w:before="468" w:beforeLines="150" w:after="156" w:afterLines="50" w:line="440" w:lineRule="exact"/>
        <w:ind w:firstLine="424" w:firstLineChars="17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根据</w:t>
      </w:r>
      <w:r>
        <w:rPr>
          <w:rFonts w:hint="eastAsia" w:ascii="仿宋_GB2312" w:hAnsi="仿宋_GB2312" w:eastAsia="仿宋_GB2312" w:cs="仿宋_GB2312"/>
          <w:color w:val="auto"/>
          <w:highlight w:val="none"/>
          <w:lang w:eastAsia="zh-CN"/>
        </w:rPr>
        <w:t>文化中心青少宫103室及户外经营场地</w:t>
      </w:r>
      <w:r>
        <w:rPr>
          <w:rFonts w:hint="eastAsia" w:ascii="仿宋_GB2312" w:hAnsi="仿宋_GB2312" w:eastAsia="仿宋_GB2312" w:cs="仿宋_GB2312"/>
          <w:color w:val="auto"/>
          <w:highlight w:val="none"/>
        </w:rPr>
        <w:t>公开</w:t>
      </w:r>
      <w:r>
        <w:rPr>
          <w:rFonts w:hint="eastAsia" w:ascii="仿宋_GB2312" w:hAnsi="仿宋_GB2312" w:eastAsia="仿宋_GB2312" w:cs="仿宋_GB2312"/>
          <w:color w:val="auto"/>
          <w:highlight w:val="none"/>
          <w:lang w:eastAsia="zh-CN"/>
        </w:rPr>
        <w:t>招租</w:t>
      </w:r>
      <w:r>
        <w:rPr>
          <w:rFonts w:hint="eastAsia" w:ascii="仿宋_GB2312" w:hAnsi="仿宋_GB2312" w:eastAsia="仿宋_GB2312" w:cs="仿宋_GB2312"/>
          <w:color w:val="auto"/>
          <w:highlight w:val="none"/>
        </w:rPr>
        <w:t>项目的公开竞价结果，按照相关法规、《中华人民共和国民法典》、交易发布信息的要求，经双方协商，本着平等互利和诚实信用的原则，就乙方向甲方租赁物业事宜，一致同意签订本合同如下。</w:t>
      </w:r>
    </w:p>
    <w:p w14:paraId="2FB259D2">
      <w:pPr>
        <w:tabs>
          <w:tab w:val="left" w:pos="720"/>
        </w:tabs>
        <w:spacing w:before="156" w:beforeLines="50" w:after="156" w:afterLines="50" w:line="440" w:lineRule="exact"/>
        <w:ind w:left="361" w:right="322" w:rightChars="134" w:hanging="361" w:hangingChars="15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第一条  </w:t>
      </w:r>
      <w:r>
        <w:rPr>
          <w:rFonts w:hint="eastAsia" w:ascii="仿宋_GB2312" w:hAnsi="仿宋_GB2312" w:eastAsia="仿宋_GB2312" w:cs="仿宋_GB2312"/>
          <w:b/>
          <w:color w:val="auto"/>
          <w:highlight w:val="none"/>
          <w:lang w:eastAsia="zh-HK"/>
        </w:rPr>
        <w:t>租赁位置</w:t>
      </w:r>
      <w:r>
        <w:rPr>
          <w:rFonts w:hint="eastAsia" w:ascii="仿宋_GB2312" w:hAnsi="仿宋_GB2312" w:eastAsia="仿宋_GB2312" w:cs="仿宋_GB2312"/>
          <w:b/>
          <w:color w:val="auto"/>
          <w:highlight w:val="none"/>
        </w:rPr>
        <w:t>、</w:t>
      </w:r>
      <w:r>
        <w:rPr>
          <w:rFonts w:hint="eastAsia" w:ascii="仿宋_GB2312" w:hAnsi="仿宋_GB2312" w:eastAsia="仿宋_GB2312" w:cs="仿宋_GB2312"/>
          <w:b/>
          <w:color w:val="auto"/>
          <w:highlight w:val="none"/>
          <w:lang w:eastAsia="zh-HK"/>
        </w:rPr>
        <w:t>面积</w:t>
      </w:r>
      <w:r>
        <w:rPr>
          <w:rFonts w:hint="eastAsia" w:ascii="仿宋_GB2312" w:hAnsi="仿宋_GB2312" w:eastAsia="仿宋_GB2312" w:cs="仿宋_GB2312"/>
          <w:b/>
          <w:color w:val="auto"/>
          <w:highlight w:val="none"/>
        </w:rPr>
        <w:t>及情况</w:t>
      </w:r>
    </w:p>
    <w:p w14:paraId="1AEF12DA">
      <w:pPr>
        <w:numPr>
          <w:ilvl w:val="0"/>
          <w:numId w:val="1"/>
        </w:numPr>
        <w:tabs>
          <w:tab w:val="left" w:pos="142"/>
          <w:tab w:val="left" w:pos="502"/>
          <w:tab w:val="left" w:pos="567"/>
        </w:tabs>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甲方将座落于</w:t>
      </w:r>
      <w:r>
        <w:rPr>
          <w:rFonts w:hint="eastAsia" w:ascii="仿宋_GB2312" w:hAnsi="仿宋_GB2312" w:eastAsia="仿宋_GB2312" w:cs="仿宋_GB2312"/>
          <w:color w:val="auto"/>
          <w:highlight w:val="none"/>
          <w:lang w:val="en-US" w:eastAsia="zh-CN"/>
        </w:rPr>
        <w:t>佛山市顺德区乐从镇华康道4号新乐路1号，</w:t>
      </w:r>
      <w:r>
        <w:rPr>
          <w:rFonts w:hint="eastAsia" w:ascii="仿宋_GB2312" w:hAnsi="仿宋_GB2312" w:eastAsia="仿宋_GB2312" w:cs="仿宋_GB2312"/>
          <w:color w:val="auto"/>
          <w:sz w:val="24"/>
          <w:szCs w:val="22"/>
          <w:highlight w:val="none"/>
          <w:lang w:eastAsia="zh-CN"/>
        </w:rPr>
        <w:t>文化中心青少宫</w:t>
      </w:r>
      <w:r>
        <w:rPr>
          <w:rFonts w:hint="eastAsia" w:ascii="仿宋_GB2312" w:hAnsi="仿宋_GB2312" w:eastAsia="仿宋_GB2312" w:cs="仿宋_GB2312"/>
          <w:color w:val="auto"/>
          <w:sz w:val="24"/>
          <w:szCs w:val="22"/>
          <w:highlight w:val="none"/>
          <w:lang w:val="en-US" w:eastAsia="zh-CN"/>
        </w:rPr>
        <w:t>103室面积</w:t>
      </w:r>
      <w:r>
        <w:rPr>
          <w:rFonts w:hint="eastAsia" w:ascii="仿宋_GB2312" w:hAnsi="仿宋_GB2312" w:eastAsia="仿宋_GB2312" w:cs="仿宋_GB2312"/>
          <w:color w:val="auto"/>
          <w:sz w:val="24"/>
          <w:szCs w:val="22"/>
          <w:highlight w:val="none"/>
          <w:u w:val="none"/>
          <w:lang w:val="en-US" w:eastAsia="zh-CN"/>
        </w:rPr>
        <w:t>63.12</w:t>
      </w:r>
      <w:r>
        <w:rPr>
          <w:rFonts w:hint="eastAsia" w:ascii="仿宋_GB2312" w:hAnsi="仿宋_GB2312" w:eastAsia="仿宋_GB2312" w:cs="仿宋_GB2312"/>
          <w:color w:val="auto"/>
          <w:sz w:val="24"/>
          <w:szCs w:val="22"/>
          <w:highlight w:val="none"/>
        </w:rPr>
        <w:t>㎡</w:t>
      </w:r>
      <w:r>
        <w:rPr>
          <w:rFonts w:hint="eastAsia" w:ascii="仿宋_GB2312" w:hAnsi="仿宋_GB2312" w:eastAsia="仿宋_GB2312" w:cs="仿宋_GB2312"/>
          <w:color w:val="auto"/>
          <w:sz w:val="24"/>
          <w:szCs w:val="22"/>
          <w:highlight w:val="none"/>
          <w:lang w:eastAsia="zh-CN"/>
        </w:rPr>
        <w:t>及户外经营场地面积</w:t>
      </w:r>
      <w:r>
        <w:rPr>
          <w:rFonts w:hint="eastAsia" w:ascii="仿宋_GB2312" w:hAnsi="仿宋_GB2312" w:eastAsia="仿宋_GB2312" w:cs="仿宋_GB2312"/>
          <w:color w:val="auto"/>
          <w:sz w:val="24"/>
          <w:szCs w:val="22"/>
          <w:highlight w:val="none"/>
          <w:u w:val="none"/>
          <w:lang w:val="en-US" w:eastAsia="zh-CN"/>
        </w:rPr>
        <w:t>20</w:t>
      </w:r>
      <w:r>
        <w:rPr>
          <w:rFonts w:hint="eastAsia" w:ascii="仿宋_GB2312" w:hAnsi="仿宋_GB2312" w:eastAsia="仿宋_GB2312" w:cs="仿宋_GB2312"/>
          <w:color w:val="auto"/>
          <w:sz w:val="24"/>
          <w:szCs w:val="22"/>
          <w:highlight w:val="none"/>
        </w:rPr>
        <w:t>㎡</w:t>
      </w:r>
      <w:r>
        <w:rPr>
          <w:rFonts w:hint="eastAsia" w:ascii="仿宋_GB2312" w:hAnsi="仿宋_GB2312" w:eastAsia="仿宋_GB2312" w:cs="仿宋_GB2312"/>
          <w:color w:val="auto"/>
          <w:sz w:val="24"/>
          <w:szCs w:val="22"/>
          <w:highlight w:val="none"/>
          <w:lang w:eastAsia="zh-CN"/>
        </w:rPr>
        <w:t>，</w:t>
      </w:r>
      <w:r>
        <w:rPr>
          <w:rFonts w:hint="eastAsia" w:ascii="仿宋_GB2312" w:hAnsi="仿宋_GB2312" w:eastAsia="仿宋_GB2312" w:cs="仿宋_GB2312"/>
          <w:color w:val="auto"/>
          <w:sz w:val="24"/>
          <w:szCs w:val="22"/>
          <w:highlight w:val="none"/>
          <w:lang w:val="en-US" w:eastAsia="zh-CN"/>
        </w:rPr>
        <w:t>租赁面积共计83.12平方米</w:t>
      </w:r>
      <w:r>
        <w:rPr>
          <w:rFonts w:hint="eastAsia" w:ascii="仿宋_GB2312" w:hAnsi="仿宋_GB2312" w:eastAsia="仿宋_GB2312" w:cs="仿宋_GB2312"/>
          <w:color w:val="auto"/>
          <w:highlight w:val="none"/>
        </w:rPr>
        <w:t>（以下简称“该物业”），出租给乙方使用。</w:t>
      </w:r>
    </w:p>
    <w:p w14:paraId="1B77DA97">
      <w:pPr>
        <w:numPr>
          <w:ilvl w:val="0"/>
          <w:numId w:val="1"/>
        </w:numPr>
        <w:tabs>
          <w:tab w:val="left" w:pos="142"/>
          <w:tab w:val="left" w:pos="502"/>
          <w:tab w:val="left" w:pos="567"/>
        </w:tabs>
        <w:spacing w:line="440" w:lineRule="exact"/>
        <w:ind w:left="357" w:hanging="35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签订本合同前，乙方已经对该物业的权属人、现状等物业具体情况了解清楚，确认不存在任何误解，乙方不可撤销地承诺不再对该物业的权属人信息、该物业的交付时的状况提出任何异议、不再以此为由提出解除或撤销本合同或主张本合同无效、不再以此为由向甲方主张任何赔偿或补偿。</w:t>
      </w:r>
    </w:p>
    <w:p w14:paraId="15C13C44">
      <w:pPr>
        <w:numPr>
          <w:ilvl w:val="0"/>
          <w:numId w:val="1"/>
        </w:numPr>
        <w:tabs>
          <w:tab w:val="left" w:pos="142"/>
          <w:tab w:val="left" w:pos="502"/>
          <w:tab w:val="left" w:pos="567"/>
        </w:tabs>
        <w:spacing w:line="440" w:lineRule="exact"/>
        <w:ind w:left="357" w:hanging="35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乙方对该物业的用途为</w:t>
      </w:r>
      <w:r>
        <w:rPr>
          <w:rFonts w:hint="eastAsia" w:ascii="仿宋_GB2312" w:hAnsi="仿宋_GB2312" w:eastAsia="仿宋_GB2312" w:cs="仿宋_GB2312"/>
          <w:color w:val="auto"/>
          <w:highlight w:val="none"/>
          <w:lang w:eastAsia="zh-CN"/>
        </w:rPr>
        <w:t>文体娱乐用地，兼容机关团体用地、街巷用地、公园与绿地</w:t>
      </w:r>
      <w:r>
        <w:rPr>
          <w:rFonts w:hint="eastAsia" w:ascii="仿宋_GB2312" w:hAnsi="仿宋_GB2312" w:eastAsia="仿宋_GB2312" w:cs="仿宋_GB2312"/>
          <w:color w:val="auto"/>
          <w:highlight w:val="none"/>
        </w:rPr>
        <w:t>，租赁期限内未经甲方同意，乙方不得改变该物业的用途。</w:t>
      </w:r>
    </w:p>
    <w:p w14:paraId="2A8F2D79">
      <w:pPr>
        <w:numPr>
          <w:ilvl w:val="0"/>
          <w:numId w:val="1"/>
        </w:numPr>
        <w:tabs>
          <w:tab w:val="left" w:pos="142"/>
          <w:tab w:val="left" w:pos="502"/>
          <w:tab w:val="left" w:pos="567"/>
        </w:tabs>
        <w:spacing w:line="440" w:lineRule="exact"/>
        <w:ind w:left="357" w:hanging="357"/>
        <w:rPr>
          <w:rFonts w:hint="eastAsia"/>
          <w:color w:val="auto"/>
          <w:highlight w:val="none"/>
        </w:rPr>
      </w:pPr>
      <w:r>
        <w:rPr>
          <w:rFonts w:hint="eastAsia" w:ascii="仿宋_GB2312" w:hAnsi="仿宋_GB2312" w:eastAsia="仿宋_GB2312" w:cs="仿宋_GB2312"/>
          <w:color w:val="auto"/>
          <w:highlight w:val="none"/>
          <w:lang w:val="en-US" w:eastAsia="zh-CN"/>
        </w:rPr>
        <w:t>本租赁物暂未获得房屋权属文件，目前业主方正在办理人防验收。承租方已充分知悉前述租赁物权属瑕疵。若因租赁物业验收未通过或业主方（佛山市新城开发建设有限公司）未能办理租赁物业产权证造成承租方无法办理工商营业执照，承租方可以提出解除合同，出租方须全额无息退还乙方保证金，但已交付的租金与管理费不予退回。</w:t>
      </w:r>
    </w:p>
    <w:p w14:paraId="2B44CB34">
      <w:pPr>
        <w:spacing w:before="156" w:beforeLines="50" w:line="440" w:lineRule="exac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第二条 租赁期限</w:t>
      </w:r>
    </w:p>
    <w:p w14:paraId="0B3B23A8">
      <w:pPr>
        <w:tabs>
          <w:tab w:val="left" w:pos="142"/>
          <w:tab w:val="left" w:pos="502"/>
          <w:tab w:val="left" w:pos="567"/>
        </w:tabs>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1、租赁期限</w:t>
      </w:r>
      <w:r>
        <w:rPr>
          <w:rFonts w:hint="eastAsia" w:ascii="仿宋" w:hAnsi="仿宋" w:eastAsia="仿宋" w:cs="仿宋"/>
          <w:color w:val="auto"/>
          <w:sz w:val="28"/>
          <w:szCs w:val="28"/>
          <w:highlight w:val="none"/>
          <w:lang w:val="en-US" w:eastAsia="zh-CN"/>
        </w:rPr>
        <w:t>：</w:t>
      </w:r>
      <w:r>
        <w:rPr>
          <w:rFonts w:hint="eastAsia" w:ascii="仿宋_GB2312" w:hAnsi="仿宋_GB2312" w:eastAsia="仿宋_GB2312" w:cs="仿宋_GB2312"/>
          <w:color w:val="auto"/>
          <w:highlight w:val="none"/>
          <w:lang w:val="en-US" w:eastAsia="zh-CN"/>
        </w:rPr>
        <w:t>5年，自场地移交之日起计</w:t>
      </w:r>
      <w:r>
        <w:rPr>
          <w:rFonts w:hint="eastAsia" w:ascii="仿宋_GB2312" w:hAnsi="仿宋_GB2312" w:eastAsia="仿宋_GB2312" w:cs="仿宋_GB2312"/>
          <w:color w:val="auto"/>
          <w:highlight w:val="none"/>
        </w:rPr>
        <w:t>。</w:t>
      </w:r>
    </w:p>
    <w:p w14:paraId="055E5311">
      <w:pPr>
        <w:tabs>
          <w:tab w:val="left" w:pos="142"/>
          <w:tab w:val="left" w:pos="502"/>
          <w:tab w:val="left" w:pos="567"/>
        </w:tabs>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2、租赁期限届满，乙方如需续租，乙方应在租赁期届满前不少于</w:t>
      </w:r>
      <w:r>
        <w:rPr>
          <w:rFonts w:hint="eastAsia"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rPr>
        <w:t>0日以书面形式向甲方提出，在满足可续租的相关前提和条件下，甲乙双方就有关租赁事项重新协商并签订租赁合同，在同等承租条件下，乙方对该物业享有优先承租权。</w:t>
      </w:r>
    </w:p>
    <w:p w14:paraId="1951B7B8">
      <w:pPr>
        <w:spacing w:before="156" w:beforeLines="50" w:line="440" w:lineRule="exac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 xml:space="preserve">第三条 </w:t>
      </w:r>
      <w:r>
        <w:rPr>
          <w:rFonts w:hint="eastAsia" w:ascii="仿宋_GB2312" w:hAnsi="仿宋_GB2312" w:eastAsia="仿宋_GB2312" w:cs="仿宋_GB2312"/>
          <w:b/>
          <w:bCs/>
          <w:color w:val="auto"/>
          <w:highlight w:val="none"/>
        </w:rPr>
        <w:t>租赁有关费用及支付方式</w:t>
      </w:r>
    </w:p>
    <w:p w14:paraId="160EDDC7">
      <w:pPr>
        <w:spacing w:line="44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1、租金</w:t>
      </w:r>
    </w:p>
    <w:p w14:paraId="1218C1E0">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1.1乙方承租该物业的租金以</w:t>
      </w:r>
      <w:r>
        <w:rPr>
          <w:rFonts w:hint="eastAsia" w:ascii="仿宋_GB2312" w:hAnsi="仿宋_GB2312" w:eastAsia="仿宋_GB2312" w:cs="仿宋_GB2312"/>
          <w:color w:val="auto"/>
          <w:highlight w:val="none"/>
          <w:lang w:val="en-US" w:eastAsia="zh-CN"/>
        </w:rPr>
        <w:t>租赁</w:t>
      </w:r>
      <w:r>
        <w:rPr>
          <w:rFonts w:hint="eastAsia" w:ascii="仿宋_GB2312" w:hAnsi="仿宋_GB2312" w:eastAsia="仿宋_GB2312" w:cs="仿宋_GB2312"/>
          <w:color w:val="auto"/>
          <w:highlight w:val="none"/>
        </w:rPr>
        <w:t>面积计算，首年（定义：租赁期起始日至次年当月当日的前一日为首年，其他租约年均依次类推）每平方米标准月租金为人民币</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元（大写：</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0"/>
          <w:szCs w:val="21"/>
          <w:highlight w:val="none"/>
          <w:lang w:val="en-US" w:eastAsia="zh-CN"/>
        </w:rPr>
        <w:t>元</w:t>
      </w:r>
      <w:r>
        <w:rPr>
          <w:rFonts w:hint="eastAsia" w:ascii="仿宋_GB2312" w:hAnsi="仿宋_GB2312" w:eastAsia="仿宋_GB2312" w:cs="仿宋_GB2312"/>
          <w:color w:val="auto"/>
          <w:highlight w:val="none"/>
        </w:rPr>
        <w:t>）；第【</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】年起租金</w:t>
      </w:r>
      <w:r>
        <w:rPr>
          <w:rFonts w:hint="eastAsia" w:ascii="仿宋_GB2312" w:hAnsi="仿宋_GB2312" w:eastAsia="仿宋_GB2312" w:cs="仿宋_GB2312"/>
          <w:color w:val="auto"/>
          <w:highlight w:val="none"/>
          <w:lang w:val="en-US" w:eastAsia="zh-CN"/>
        </w:rPr>
        <w:t>在首年基础上</w:t>
      </w:r>
      <w:r>
        <w:rPr>
          <w:rFonts w:hint="eastAsia" w:ascii="仿宋_GB2312" w:hAnsi="仿宋_GB2312" w:eastAsia="仿宋_GB2312" w:cs="仿宋_GB2312"/>
          <w:color w:val="auto"/>
          <w:highlight w:val="none"/>
        </w:rPr>
        <w:t>递增【5】%</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第【5】年起租金在第【3】年的基础上递增【5】%</w:t>
      </w:r>
      <w:r>
        <w:rPr>
          <w:rFonts w:hint="eastAsia" w:ascii="仿宋_GB2312" w:hAnsi="仿宋_GB2312" w:eastAsia="仿宋_GB2312" w:cs="仿宋_GB2312"/>
          <w:color w:val="auto"/>
          <w:highlight w:val="none"/>
        </w:rPr>
        <w:t>。租赁期内的物业租金（含税）总额为人民币</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元（大写：）。其中不含税金额：</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元，增值税税目</w:t>
      </w:r>
      <w:r>
        <w:rPr>
          <w:rFonts w:hint="eastAsia" w:ascii="仿宋_GB2312" w:hAnsi="仿宋_GB2312" w:eastAsia="仿宋_GB2312" w:cs="仿宋_GB2312"/>
          <w:color w:val="auto"/>
          <w:highlight w:val="none"/>
          <w:lang w:val="en-US" w:eastAsia="zh-CN"/>
        </w:rPr>
        <w:t>租金</w:t>
      </w:r>
      <w:r>
        <w:rPr>
          <w:rFonts w:hint="eastAsia" w:ascii="仿宋_GB2312" w:hAnsi="仿宋_GB2312" w:eastAsia="仿宋_GB2312" w:cs="仿宋_GB2312"/>
          <w:color w:val="auto"/>
          <w:highlight w:val="none"/>
        </w:rPr>
        <w:t>，税率</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rPr>
        <w:t>，增值税税额：</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rPr>
        <w:t>元。若因国家税务政策变化导致税率调整，不含增值税价格金额不变，具体税金以变更后的税率计算。</w:t>
      </w:r>
    </w:p>
    <w:p w14:paraId="72E9BFDC">
      <w:pPr>
        <w:spacing w:line="44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具体租金金额见下表：</w:t>
      </w:r>
    </w:p>
    <w:tbl>
      <w:tblPr>
        <w:tblStyle w:val="10"/>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2345"/>
        <w:gridCol w:w="1079"/>
        <w:gridCol w:w="1080"/>
        <w:gridCol w:w="1244"/>
        <w:gridCol w:w="1079"/>
        <w:gridCol w:w="1229"/>
      </w:tblGrid>
      <w:tr w14:paraId="7E86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9" w:type="dxa"/>
            <w:tcBorders>
              <w:top w:val="single" w:color="000000" w:sz="8" w:space="0"/>
              <w:left w:val="single" w:color="000000" w:sz="8" w:space="0"/>
              <w:bottom w:val="single" w:color="000000" w:sz="12" w:space="0"/>
              <w:right w:val="single" w:color="000000" w:sz="12" w:space="0"/>
            </w:tcBorders>
            <w:noWrap w:val="0"/>
            <w:vAlign w:val="center"/>
          </w:tcPr>
          <w:p w14:paraId="0F36076D">
            <w:pPr>
              <w:keepNext w:val="0"/>
              <w:keepLines w:val="0"/>
              <w:widowControl/>
              <w:suppressLineNumbers w:val="0"/>
              <w:jc w:val="center"/>
              <w:textAlignment w:val="center"/>
              <w:rPr>
                <w:rFonts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序号</w:t>
            </w:r>
          </w:p>
        </w:tc>
        <w:tc>
          <w:tcPr>
            <w:tcW w:w="2345" w:type="dxa"/>
            <w:tcBorders>
              <w:top w:val="single" w:color="000000" w:sz="8" w:space="0"/>
              <w:left w:val="nil"/>
              <w:bottom w:val="single" w:color="000000" w:sz="12" w:space="0"/>
              <w:right w:val="single" w:color="000000" w:sz="12" w:space="0"/>
            </w:tcBorders>
            <w:noWrap w:val="0"/>
            <w:vAlign w:val="center"/>
          </w:tcPr>
          <w:p w14:paraId="58CAC189">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租赁期限</w:t>
            </w:r>
          </w:p>
        </w:tc>
        <w:tc>
          <w:tcPr>
            <w:tcW w:w="1079" w:type="dxa"/>
            <w:tcBorders>
              <w:top w:val="single" w:color="000000" w:sz="8" w:space="0"/>
              <w:left w:val="nil"/>
              <w:bottom w:val="single" w:color="000000" w:sz="12" w:space="0"/>
              <w:right w:val="single" w:color="000000" w:sz="12" w:space="0"/>
            </w:tcBorders>
            <w:noWrap w:val="0"/>
            <w:vAlign w:val="center"/>
          </w:tcPr>
          <w:p w14:paraId="71C4C889">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单价（元/㎡/月）</w:t>
            </w:r>
          </w:p>
        </w:tc>
        <w:tc>
          <w:tcPr>
            <w:tcW w:w="1080" w:type="dxa"/>
            <w:tcBorders>
              <w:top w:val="single" w:color="000000" w:sz="8" w:space="0"/>
              <w:left w:val="nil"/>
              <w:bottom w:val="single" w:color="000000" w:sz="12" w:space="0"/>
              <w:right w:val="single" w:color="000000" w:sz="12" w:space="0"/>
            </w:tcBorders>
            <w:noWrap w:val="0"/>
            <w:vAlign w:val="center"/>
          </w:tcPr>
          <w:p w14:paraId="3540279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面积（㎡）</w:t>
            </w:r>
          </w:p>
        </w:tc>
        <w:tc>
          <w:tcPr>
            <w:tcW w:w="1244" w:type="dxa"/>
            <w:tcBorders>
              <w:top w:val="single" w:color="000000" w:sz="8" w:space="0"/>
              <w:left w:val="nil"/>
              <w:bottom w:val="single" w:color="000000" w:sz="12" w:space="0"/>
              <w:right w:val="single" w:color="000000" w:sz="12" w:space="0"/>
            </w:tcBorders>
            <w:noWrap w:val="0"/>
            <w:vAlign w:val="center"/>
          </w:tcPr>
          <w:p w14:paraId="5BBD0D98">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月租金金额（元/月）</w:t>
            </w:r>
          </w:p>
        </w:tc>
        <w:tc>
          <w:tcPr>
            <w:tcW w:w="1079" w:type="dxa"/>
            <w:tcBorders>
              <w:top w:val="single" w:color="000000" w:sz="8" w:space="0"/>
              <w:left w:val="nil"/>
              <w:bottom w:val="single" w:color="000000" w:sz="12" w:space="0"/>
              <w:right w:val="single" w:color="000000" w:sz="12" w:space="0"/>
            </w:tcBorders>
            <w:noWrap w:val="0"/>
            <w:vAlign w:val="center"/>
          </w:tcPr>
          <w:p w14:paraId="6BCA8631">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月份(个)</w:t>
            </w:r>
          </w:p>
        </w:tc>
        <w:tc>
          <w:tcPr>
            <w:tcW w:w="1229" w:type="dxa"/>
            <w:tcBorders>
              <w:top w:val="single" w:color="000000" w:sz="8" w:space="0"/>
              <w:left w:val="nil"/>
              <w:bottom w:val="single" w:color="000000" w:sz="12" w:space="0"/>
              <w:right w:val="single" w:color="000000" w:sz="12" w:space="0"/>
            </w:tcBorders>
            <w:noWrap w:val="0"/>
            <w:vAlign w:val="center"/>
          </w:tcPr>
          <w:p w14:paraId="4FA79BE1">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年租金（元）</w:t>
            </w:r>
          </w:p>
        </w:tc>
      </w:tr>
      <w:tr w14:paraId="4086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9" w:type="dxa"/>
            <w:tcBorders>
              <w:top w:val="nil"/>
              <w:left w:val="single" w:color="000000" w:sz="8" w:space="0"/>
              <w:bottom w:val="single" w:color="000000" w:sz="12" w:space="0"/>
              <w:right w:val="single" w:color="000000" w:sz="12" w:space="0"/>
            </w:tcBorders>
            <w:noWrap w:val="0"/>
            <w:vAlign w:val="center"/>
          </w:tcPr>
          <w:p w14:paraId="08738EF8">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2345" w:type="dxa"/>
            <w:tcBorders>
              <w:top w:val="nil"/>
              <w:left w:val="nil"/>
              <w:bottom w:val="single" w:color="000000" w:sz="12" w:space="0"/>
              <w:right w:val="single" w:color="000000" w:sz="12" w:space="0"/>
            </w:tcBorders>
            <w:noWrap w:val="0"/>
            <w:vAlign w:val="center"/>
          </w:tcPr>
          <w:p w14:paraId="473254B3">
            <w:pPr>
              <w:keepNext w:val="0"/>
              <w:keepLines w:val="0"/>
              <w:widowControl/>
              <w:suppressLineNumbers w:val="0"/>
              <w:jc w:val="left"/>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场地交付之日起</w:t>
            </w:r>
            <w:r>
              <w:rPr>
                <w:rFonts w:hint="eastAsia" w:ascii="仿宋_GB2312" w:hAnsi="宋体" w:eastAsia="仿宋_GB2312" w:cs="仿宋_GB2312"/>
                <w:i w:val="0"/>
                <w:iCs w:val="0"/>
                <w:color w:val="auto"/>
                <w:kern w:val="0"/>
                <w:sz w:val="21"/>
                <w:szCs w:val="21"/>
                <w:highlight w:val="none"/>
                <w:u w:val="none"/>
                <w:lang w:val="en-US" w:eastAsia="zh-CN" w:bidi="ar"/>
              </w:rPr>
              <w:t>第一</w:t>
            </w:r>
            <w:r>
              <w:rPr>
                <w:rFonts w:hint="default" w:ascii="仿宋_GB2312" w:hAnsi="宋体" w:eastAsia="仿宋_GB2312" w:cs="仿宋_GB2312"/>
                <w:i w:val="0"/>
                <w:iCs w:val="0"/>
                <w:color w:val="auto"/>
                <w:kern w:val="0"/>
                <w:sz w:val="21"/>
                <w:szCs w:val="21"/>
                <w:highlight w:val="none"/>
                <w:u w:val="none"/>
                <w:lang w:val="en-US" w:eastAsia="zh-CN" w:bidi="ar"/>
              </w:rPr>
              <w:t>年</w:t>
            </w:r>
          </w:p>
        </w:tc>
        <w:tc>
          <w:tcPr>
            <w:tcW w:w="1079" w:type="dxa"/>
            <w:tcBorders>
              <w:top w:val="nil"/>
              <w:left w:val="nil"/>
              <w:bottom w:val="single" w:color="000000" w:sz="12" w:space="0"/>
              <w:right w:val="single" w:color="000000" w:sz="12" w:space="0"/>
            </w:tcBorders>
            <w:noWrap w:val="0"/>
            <w:vAlign w:val="center"/>
          </w:tcPr>
          <w:p w14:paraId="7649840F">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80" w:type="dxa"/>
            <w:vMerge w:val="restart"/>
            <w:tcBorders>
              <w:top w:val="nil"/>
              <w:left w:val="nil"/>
              <w:right w:val="single" w:color="000000" w:sz="12" w:space="0"/>
            </w:tcBorders>
            <w:noWrap w:val="0"/>
            <w:vAlign w:val="center"/>
          </w:tcPr>
          <w:p w14:paraId="21174D27">
            <w:pPr>
              <w:jc w:val="center"/>
              <w:rPr>
                <w:rFonts w:hint="default"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83.12</w:t>
            </w:r>
          </w:p>
        </w:tc>
        <w:tc>
          <w:tcPr>
            <w:tcW w:w="1244" w:type="dxa"/>
            <w:tcBorders>
              <w:top w:val="nil"/>
              <w:left w:val="nil"/>
              <w:bottom w:val="single" w:color="000000" w:sz="12" w:space="0"/>
              <w:right w:val="single" w:color="000000" w:sz="12" w:space="0"/>
            </w:tcBorders>
            <w:noWrap w:val="0"/>
            <w:vAlign w:val="center"/>
          </w:tcPr>
          <w:p w14:paraId="5A9841E6">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79" w:type="dxa"/>
            <w:tcBorders>
              <w:top w:val="nil"/>
              <w:left w:val="nil"/>
              <w:bottom w:val="single" w:color="000000" w:sz="12" w:space="0"/>
              <w:right w:val="single" w:color="000000" w:sz="12" w:space="0"/>
            </w:tcBorders>
            <w:noWrap w:val="0"/>
            <w:vAlign w:val="center"/>
          </w:tcPr>
          <w:p w14:paraId="79FC0C4C">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lang w:val="en-US"/>
              </w:rPr>
            </w:pPr>
            <w:r>
              <w:rPr>
                <w:rFonts w:hint="eastAsia" w:ascii="仿宋_GB2312" w:hAnsi="宋体" w:eastAsia="仿宋_GB2312" w:cs="仿宋_GB2312"/>
                <w:i w:val="0"/>
                <w:iCs w:val="0"/>
                <w:color w:val="auto"/>
                <w:kern w:val="0"/>
                <w:sz w:val="21"/>
                <w:szCs w:val="21"/>
                <w:highlight w:val="none"/>
                <w:u w:val="none"/>
                <w:lang w:val="en-US" w:eastAsia="zh-CN" w:bidi="ar"/>
              </w:rPr>
              <w:t>12</w:t>
            </w:r>
          </w:p>
        </w:tc>
        <w:tc>
          <w:tcPr>
            <w:tcW w:w="1229" w:type="dxa"/>
            <w:tcBorders>
              <w:top w:val="nil"/>
              <w:left w:val="nil"/>
              <w:bottom w:val="nil"/>
              <w:right w:val="single" w:color="000000" w:sz="12" w:space="0"/>
            </w:tcBorders>
            <w:noWrap w:val="0"/>
            <w:vAlign w:val="center"/>
          </w:tcPr>
          <w:p w14:paraId="02679C20">
            <w:pPr>
              <w:jc w:val="center"/>
              <w:rPr>
                <w:rFonts w:hint="default" w:ascii="Calibri" w:hAnsi="Calibri" w:eastAsia="宋体" w:cs="Calibri"/>
                <w:i w:val="0"/>
                <w:iCs w:val="0"/>
                <w:color w:val="auto"/>
                <w:sz w:val="21"/>
                <w:szCs w:val="21"/>
                <w:highlight w:val="none"/>
                <w:u w:val="none"/>
              </w:rPr>
            </w:pPr>
          </w:p>
        </w:tc>
      </w:tr>
      <w:tr w14:paraId="3098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9" w:type="dxa"/>
            <w:tcBorders>
              <w:top w:val="nil"/>
              <w:left w:val="single" w:color="000000" w:sz="8" w:space="0"/>
              <w:bottom w:val="single" w:color="000000" w:sz="12" w:space="0"/>
              <w:right w:val="single" w:color="000000" w:sz="12" w:space="0"/>
            </w:tcBorders>
            <w:noWrap w:val="0"/>
            <w:vAlign w:val="center"/>
          </w:tcPr>
          <w:p w14:paraId="2147611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2</w:t>
            </w:r>
          </w:p>
        </w:tc>
        <w:tc>
          <w:tcPr>
            <w:tcW w:w="2345" w:type="dxa"/>
            <w:tcBorders>
              <w:top w:val="nil"/>
              <w:left w:val="nil"/>
              <w:bottom w:val="single" w:color="000000" w:sz="12" w:space="0"/>
              <w:right w:val="single" w:color="000000" w:sz="12" w:space="0"/>
            </w:tcBorders>
            <w:noWrap w:val="0"/>
            <w:vAlign w:val="center"/>
          </w:tcPr>
          <w:p w14:paraId="59A63AB5">
            <w:pPr>
              <w:keepNext w:val="0"/>
              <w:keepLines w:val="0"/>
              <w:widowControl/>
              <w:suppressLineNumbers w:val="0"/>
              <w:jc w:val="left"/>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场地交付之日起第二年</w:t>
            </w:r>
          </w:p>
        </w:tc>
        <w:tc>
          <w:tcPr>
            <w:tcW w:w="1079" w:type="dxa"/>
            <w:tcBorders>
              <w:top w:val="nil"/>
              <w:left w:val="nil"/>
              <w:bottom w:val="single" w:color="000000" w:sz="12" w:space="0"/>
              <w:right w:val="single" w:color="000000" w:sz="12" w:space="0"/>
            </w:tcBorders>
            <w:noWrap w:val="0"/>
            <w:vAlign w:val="center"/>
          </w:tcPr>
          <w:p w14:paraId="777C92A6">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80" w:type="dxa"/>
            <w:vMerge w:val="continue"/>
            <w:tcBorders>
              <w:top w:val="nil"/>
              <w:left w:val="nil"/>
              <w:bottom w:val="single" w:color="000000" w:sz="12" w:space="0"/>
              <w:right w:val="single" w:color="000000" w:sz="12" w:space="0"/>
            </w:tcBorders>
            <w:noWrap w:val="0"/>
            <w:vAlign w:val="center"/>
          </w:tcPr>
          <w:p w14:paraId="00A8C335">
            <w:pPr>
              <w:jc w:val="center"/>
              <w:rPr>
                <w:rFonts w:hint="default" w:ascii="仿宋_GB2312" w:hAnsi="宋体" w:eastAsia="仿宋_GB2312" w:cs="仿宋_GB2312"/>
                <w:i w:val="0"/>
                <w:iCs w:val="0"/>
                <w:color w:val="auto"/>
                <w:sz w:val="21"/>
                <w:szCs w:val="21"/>
                <w:highlight w:val="none"/>
                <w:u w:val="none"/>
              </w:rPr>
            </w:pPr>
          </w:p>
        </w:tc>
        <w:tc>
          <w:tcPr>
            <w:tcW w:w="1244" w:type="dxa"/>
            <w:tcBorders>
              <w:top w:val="nil"/>
              <w:left w:val="nil"/>
              <w:bottom w:val="single" w:color="000000" w:sz="12" w:space="0"/>
              <w:right w:val="single" w:color="000000" w:sz="12" w:space="0"/>
            </w:tcBorders>
            <w:noWrap w:val="0"/>
            <w:vAlign w:val="center"/>
          </w:tcPr>
          <w:p w14:paraId="37032E61">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79" w:type="dxa"/>
            <w:tcBorders>
              <w:top w:val="nil"/>
              <w:left w:val="nil"/>
              <w:bottom w:val="single" w:color="000000" w:sz="12" w:space="0"/>
              <w:right w:val="single" w:color="000000" w:sz="12" w:space="0"/>
            </w:tcBorders>
            <w:noWrap w:val="0"/>
            <w:vAlign w:val="center"/>
          </w:tcPr>
          <w:p w14:paraId="300B8DA0">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12</w:t>
            </w:r>
          </w:p>
        </w:tc>
        <w:tc>
          <w:tcPr>
            <w:tcW w:w="1229" w:type="dxa"/>
            <w:tcBorders>
              <w:top w:val="single" w:color="000000" w:sz="12" w:space="0"/>
              <w:left w:val="nil"/>
              <w:bottom w:val="nil"/>
              <w:right w:val="single" w:color="000000" w:sz="12" w:space="0"/>
            </w:tcBorders>
            <w:noWrap w:val="0"/>
            <w:vAlign w:val="center"/>
          </w:tcPr>
          <w:p w14:paraId="43A14E48">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r>
      <w:tr w14:paraId="3ACC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79" w:type="dxa"/>
            <w:tcBorders>
              <w:top w:val="nil"/>
              <w:left w:val="single" w:color="000000" w:sz="8" w:space="0"/>
              <w:bottom w:val="single" w:color="000000" w:sz="12" w:space="0"/>
              <w:right w:val="single" w:color="000000" w:sz="12" w:space="0"/>
            </w:tcBorders>
            <w:noWrap w:val="0"/>
            <w:vAlign w:val="center"/>
          </w:tcPr>
          <w:p w14:paraId="74D8D46E">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3</w:t>
            </w:r>
          </w:p>
        </w:tc>
        <w:tc>
          <w:tcPr>
            <w:tcW w:w="2345" w:type="dxa"/>
            <w:tcBorders>
              <w:top w:val="nil"/>
              <w:left w:val="nil"/>
              <w:bottom w:val="single" w:color="000000" w:sz="12" w:space="0"/>
              <w:right w:val="single" w:color="000000" w:sz="12" w:space="0"/>
            </w:tcBorders>
            <w:noWrap w:val="0"/>
            <w:vAlign w:val="center"/>
          </w:tcPr>
          <w:p w14:paraId="002DA05B">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场地交付之日起第三年</w:t>
            </w:r>
          </w:p>
        </w:tc>
        <w:tc>
          <w:tcPr>
            <w:tcW w:w="1079" w:type="dxa"/>
            <w:tcBorders>
              <w:top w:val="nil"/>
              <w:left w:val="nil"/>
              <w:bottom w:val="single" w:color="000000" w:sz="12" w:space="0"/>
              <w:right w:val="single" w:color="000000" w:sz="12" w:space="0"/>
            </w:tcBorders>
            <w:noWrap w:val="0"/>
            <w:vAlign w:val="center"/>
          </w:tcPr>
          <w:p w14:paraId="08DF47BC">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80" w:type="dxa"/>
            <w:vMerge w:val="continue"/>
            <w:tcBorders>
              <w:top w:val="nil"/>
              <w:left w:val="nil"/>
              <w:bottom w:val="single" w:color="000000" w:sz="12" w:space="0"/>
              <w:right w:val="single" w:color="000000" w:sz="12" w:space="0"/>
            </w:tcBorders>
            <w:noWrap w:val="0"/>
            <w:vAlign w:val="center"/>
          </w:tcPr>
          <w:p w14:paraId="526E6164">
            <w:pPr>
              <w:jc w:val="center"/>
              <w:rPr>
                <w:rFonts w:hint="default" w:ascii="仿宋_GB2312" w:hAnsi="宋体" w:eastAsia="仿宋_GB2312" w:cs="仿宋_GB2312"/>
                <w:i w:val="0"/>
                <w:iCs w:val="0"/>
                <w:color w:val="auto"/>
                <w:sz w:val="21"/>
                <w:szCs w:val="21"/>
                <w:highlight w:val="none"/>
                <w:u w:val="none"/>
              </w:rPr>
            </w:pPr>
          </w:p>
        </w:tc>
        <w:tc>
          <w:tcPr>
            <w:tcW w:w="1244" w:type="dxa"/>
            <w:tcBorders>
              <w:top w:val="nil"/>
              <w:left w:val="nil"/>
              <w:bottom w:val="single" w:color="000000" w:sz="12" w:space="0"/>
              <w:right w:val="single" w:color="000000" w:sz="12" w:space="0"/>
            </w:tcBorders>
            <w:noWrap w:val="0"/>
            <w:vAlign w:val="center"/>
          </w:tcPr>
          <w:p w14:paraId="22BEBBF8">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79" w:type="dxa"/>
            <w:tcBorders>
              <w:top w:val="nil"/>
              <w:left w:val="nil"/>
              <w:bottom w:val="single" w:color="000000" w:sz="12" w:space="0"/>
              <w:right w:val="single" w:color="000000" w:sz="8" w:space="0"/>
            </w:tcBorders>
            <w:noWrap w:val="0"/>
            <w:vAlign w:val="center"/>
          </w:tcPr>
          <w:p w14:paraId="69292D86">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12</w:t>
            </w:r>
          </w:p>
        </w:tc>
        <w:tc>
          <w:tcPr>
            <w:tcW w:w="1229" w:type="dxa"/>
            <w:tcBorders>
              <w:top w:val="single" w:color="000000" w:sz="12" w:space="0"/>
              <w:left w:val="nil"/>
              <w:bottom w:val="nil"/>
              <w:right w:val="single" w:color="000000" w:sz="12" w:space="0"/>
            </w:tcBorders>
            <w:noWrap w:val="0"/>
            <w:vAlign w:val="center"/>
          </w:tcPr>
          <w:p w14:paraId="6FD55FFB">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r>
      <w:tr w14:paraId="4D08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9" w:type="dxa"/>
            <w:tcBorders>
              <w:top w:val="nil"/>
              <w:left w:val="single" w:color="000000" w:sz="8" w:space="0"/>
              <w:bottom w:val="single" w:color="000000" w:sz="12" w:space="0"/>
              <w:right w:val="single" w:color="000000" w:sz="12" w:space="0"/>
            </w:tcBorders>
            <w:noWrap w:val="0"/>
            <w:vAlign w:val="center"/>
          </w:tcPr>
          <w:p w14:paraId="08FB40A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4</w:t>
            </w:r>
          </w:p>
        </w:tc>
        <w:tc>
          <w:tcPr>
            <w:tcW w:w="2345" w:type="dxa"/>
            <w:tcBorders>
              <w:top w:val="nil"/>
              <w:left w:val="nil"/>
              <w:bottom w:val="single" w:color="000000" w:sz="12" w:space="0"/>
              <w:right w:val="single" w:color="000000" w:sz="12" w:space="0"/>
            </w:tcBorders>
            <w:noWrap w:val="0"/>
            <w:vAlign w:val="center"/>
          </w:tcPr>
          <w:p w14:paraId="304389B5">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场地交付之日起第四年</w:t>
            </w:r>
          </w:p>
        </w:tc>
        <w:tc>
          <w:tcPr>
            <w:tcW w:w="1079" w:type="dxa"/>
            <w:tcBorders>
              <w:top w:val="nil"/>
              <w:left w:val="nil"/>
              <w:bottom w:val="single" w:color="000000" w:sz="12" w:space="0"/>
              <w:right w:val="single" w:color="000000" w:sz="12" w:space="0"/>
            </w:tcBorders>
            <w:noWrap w:val="0"/>
            <w:vAlign w:val="center"/>
          </w:tcPr>
          <w:p w14:paraId="1E203FB7">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80" w:type="dxa"/>
            <w:vMerge w:val="continue"/>
            <w:tcBorders>
              <w:top w:val="nil"/>
              <w:left w:val="nil"/>
              <w:bottom w:val="single" w:color="000000" w:sz="12" w:space="0"/>
              <w:right w:val="single" w:color="000000" w:sz="12" w:space="0"/>
            </w:tcBorders>
            <w:noWrap w:val="0"/>
            <w:vAlign w:val="center"/>
          </w:tcPr>
          <w:p w14:paraId="7A48BE10">
            <w:pPr>
              <w:jc w:val="center"/>
              <w:rPr>
                <w:rFonts w:hint="default" w:ascii="仿宋_GB2312" w:hAnsi="宋体" w:eastAsia="仿宋_GB2312" w:cs="仿宋_GB2312"/>
                <w:i w:val="0"/>
                <w:iCs w:val="0"/>
                <w:color w:val="auto"/>
                <w:sz w:val="21"/>
                <w:szCs w:val="21"/>
                <w:highlight w:val="none"/>
                <w:u w:val="none"/>
              </w:rPr>
            </w:pPr>
          </w:p>
        </w:tc>
        <w:tc>
          <w:tcPr>
            <w:tcW w:w="1244" w:type="dxa"/>
            <w:tcBorders>
              <w:top w:val="nil"/>
              <w:left w:val="nil"/>
              <w:bottom w:val="single" w:color="000000" w:sz="12" w:space="0"/>
              <w:right w:val="single" w:color="000000" w:sz="12" w:space="0"/>
            </w:tcBorders>
            <w:noWrap w:val="0"/>
            <w:vAlign w:val="center"/>
          </w:tcPr>
          <w:p w14:paraId="73BF9566">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79" w:type="dxa"/>
            <w:tcBorders>
              <w:top w:val="nil"/>
              <w:left w:val="nil"/>
              <w:bottom w:val="single" w:color="000000" w:sz="12" w:space="0"/>
              <w:right w:val="single" w:color="000000" w:sz="8" w:space="0"/>
            </w:tcBorders>
            <w:noWrap w:val="0"/>
            <w:vAlign w:val="center"/>
          </w:tcPr>
          <w:p w14:paraId="69B4EAB4">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12</w:t>
            </w:r>
          </w:p>
        </w:tc>
        <w:tc>
          <w:tcPr>
            <w:tcW w:w="1229" w:type="dxa"/>
            <w:tcBorders>
              <w:top w:val="single" w:color="000000" w:sz="12" w:space="0"/>
              <w:left w:val="nil"/>
              <w:bottom w:val="nil"/>
              <w:right w:val="single" w:color="000000" w:sz="12" w:space="0"/>
            </w:tcBorders>
            <w:noWrap w:val="0"/>
            <w:vAlign w:val="center"/>
          </w:tcPr>
          <w:p w14:paraId="7F4936B5">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r>
      <w:tr w14:paraId="5B23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79" w:type="dxa"/>
            <w:tcBorders>
              <w:top w:val="nil"/>
              <w:left w:val="single" w:color="000000" w:sz="8" w:space="0"/>
              <w:bottom w:val="nil"/>
              <w:right w:val="single" w:color="000000" w:sz="12" w:space="0"/>
            </w:tcBorders>
            <w:noWrap w:val="0"/>
            <w:vAlign w:val="center"/>
          </w:tcPr>
          <w:p w14:paraId="4E399AF8">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5</w:t>
            </w:r>
          </w:p>
        </w:tc>
        <w:tc>
          <w:tcPr>
            <w:tcW w:w="2345" w:type="dxa"/>
            <w:tcBorders>
              <w:top w:val="nil"/>
              <w:left w:val="nil"/>
              <w:bottom w:val="single" w:color="000000" w:sz="12" w:space="0"/>
              <w:right w:val="single" w:color="000000" w:sz="12" w:space="0"/>
            </w:tcBorders>
            <w:noWrap w:val="0"/>
            <w:vAlign w:val="center"/>
          </w:tcPr>
          <w:p w14:paraId="47F80D1C">
            <w:pPr>
              <w:keepNext w:val="0"/>
              <w:keepLines w:val="0"/>
              <w:widowControl/>
              <w:suppressLineNumbers w:val="0"/>
              <w:jc w:val="left"/>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场地交付之日起第五年</w:t>
            </w:r>
          </w:p>
        </w:tc>
        <w:tc>
          <w:tcPr>
            <w:tcW w:w="1079" w:type="dxa"/>
            <w:tcBorders>
              <w:top w:val="nil"/>
              <w:left w:val="nil"/>
              <w:bottom w:val="single" w:color="000000" w:sz="12" w:space="0"/>
              <w:right w:val="single" w:color="000000" w:sz="12" w:space="0"/>
            </w:tcBorders>
            <w:noWrap w:val="0"/>
            <w:vAlign w:val="center"/>
          </w:tcPr>
          <w:p w14:paraId="02FA253D">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80" w:type="dxa"/>
            <w:vMerge w:val="continue"/>
            <w:tcBorders>
              <w:top w:val="nil"/>
              <w:left w:val="nil"/>
              <w:bottom w:val="single" w:color="000000" w:sz="12" w:space="0"/>
              <w:right w:val="single" w:color="000000" w:sz="12" w:space="0"/>
            </w:tcBorders>
            <w:noWrap w:val="0"/>
            <w:vAlign w:val="center"/>
          </w:tcPr>
          <w:p w14:paraId="5A8B3D6E">
            <w:pPr>
              <w:jc w:val="center"/>
              <w:rPr>
                <w:rFonts w:hint="default" w:ascii="仿宋_GB2312" w:hAnsi="宋体" w:eastAsia="仿宋_GB2312" w:cs="仿宋_GB2312"/>
                <w:i w:val="0"/>
                <w:iCs w:val="0"/>
                <w:color w:val="auto"/>
                <w:sz w:val="21"/>
                <w:szCs w:val="21"/>
                <w:highlight w:val="none"/>
                <w:u w:val="none"/>
              </w:rPr>
            </w:pPr>
          </w:p>
        </w:tc>
        <w:tc>
          <w:tcPr>
            <w:tcW w:w="1244" w:type="dxa"/>
            <w:tcBorders>
              <w:top w:val="nil"/>
              <w:left w:val="nil"/>
              <w:bottom w:val="single" w:color="000000" w:sz="12" w:space="0"/>
              <w:right w:val="single" w:color="000000" w:sz="12" w:space="0"/>
            </w:tcBorders>
            <w:noWrap w:val="0"/>
            <w:vAlign w:val="center"/>
          </w:tcPr>
          <w:p w14:paraId="1F1E0B3F">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c>
          <w:tcPr>
            <w:tcW w:w="1079" w:type="dxa"/>
            <w:tcBorders>
              <w:top w:val="nil"/>
              <w:left w:val="nil"/>
              <w:bottom w:val="single" w:color="000000" w:sz="12" w:space="0"/>
              <w:right w:val="nil"/>
            </w:tcBorders>
            <w:noWrap w:val="0"/>
            <w:vAlign w:val="center"/>
          </w:tcPr>
          <w:p w14:paraId="3E7512AC">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12</w:t>
            </w:r>
          </w:p>
        </w:tc>
        <w:tc>
          <w:tcPr>
            <w:tcW w:w="1229" w:type="dxa"/>
            <w:tcBorders>
              <w:top w:val="single" w:color="000000" w:sz="8" w:space="0"/>
              <w:left w:val="single" w:color="000000" w:sz="8" w:space="0"/>
              <w:bottom w:val="single" w:color="000000" w:sz="8" w:space="0"/>
              <w:right w:val="single" w:color="000000" w:sz="8" w:space="0"/>
            </w:tcBorders>
            <w:noWrap w:val="0"/>
            <w:vAlign w:val="center"/>
          </w:tcPr>
          <w:p w14:paraId="26A23032">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r>
      <w:tr w14:paraId="4445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24" w:type="dxa"/>
            <w:gridSpan w:val="2"/>
            <w:tcBorders>
              <w:top w:val="single" w:color="000000" w:sz="12" w:space="0"/>
              <w:left w:val="single" w:color="000000" w:sz="8" w:space="0"/>
              <w:bottom w:val="single" w:color="000000" w:sz="12" w:space="0"/>
              <w:right w:val="single" w:color="000000" w:sz="12" w:space="0"/>
            </w:tcBorders>
            <w:noWrap w:val="0"/>
            <w:vAlign w:val="center"/>
          </w:tcPr>
          <w:p w14:paraId="558A1734">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总金额</w:t>
            </w:r>
            <w:r>
              <w:rPr>
                <w:rFonts w:hint="default" w:ascii="仿宋_GB2312" w:hAnsi="宋体" w:eastAsia="仿宋_GB2312" w:cs="仿宋_GB2312"/>
                <w:i w:val="0"/>
                <w:iCs w:val="0"/>
                <w:color w:val="auto"/>
                <w:kern w:val="0"/>
                <w:sz w:val="21"/>
                <w:szCs w:val="21"/>
                <w:highlight w:val="none"/>
                <w:u w:val="none"/>
                <w:lang w:val="en-US" w:eastAsia="zh-CN" w:bidi="ar"/>
              </w:rPr>
              <w:t>（元）</w:t>
            </w:r>
          </w:p>
        </w:tc>
        <w:tc>
          <w:tcPr>
            <w:tcW w:w="5711" w:type="dxa"/>
            <w:gridSpan w:val="5"/>
            <w:tcBorders>
              <w:top w:val="nil"/>
              <w:left w:val="nil"/>
              <w:bottom w:val="single" w:color="000000" w:sz="12" w:space="0"/>
              <w:right w:val="single" w:color="000000" w:sz="12" w:space="0"/>
            </w:tcBorders>
            <w:noWrap w:val="0"/>
            <w:vAlign w:val="center"/>
          </w:tcPr>
          <w:p w14:paraId="6899F75E">
            <w:pPr>
              <w:keepNext w:val="0"/>
              <w:keepLines w:val="0"/>
              <w:widowControl/>
              <w:suppressLineNumbers w:val="0"/>
              <w:jc w:val="center"/>
              <w:textAlignment w:val="center"/>
              <w:rPr>
                <w:rFonts w:hint="default" w:ascii="Calibri" w:hAnsi="Calibri" w:eastAsia="宋体" w:cs="Calibri"/>
                <w:i w:val="0"/>
                <w:iCs w:val="0"/>
                <w:color w:val="auto"/>
                <w:sz w:val="21"/>
                <w:szCs w:val="21"/>
                <w:highlight w:val="none"/>
                <w:u w:val="none"/>
              </w:rPr>
            </w:pPr>
          </w:p>
        </w:tc>
      </w:tr>
      <w:tr w14:paraId="7197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35" w:type="dxa"/>
            <w:gridSpan w:val="7"/>
            <w:tcBorders>
              <w:top w:val="nil"/>
              <w:left w:val="single" w:color="000000" w:sz="8" w:space="0"/>
              <w:bottom w:val="single" w:color="000000" w:sz="12" w:space="0"/>
              <w:right w:val="single" w:color="000000" w:sz="12" w:space="0"/>
            </w:tcBorders>
            <w:noWrap w:val="0"/>
            <w:vAlign w:val="center"/>
          </w:tcPr>
          <w:p w14:paraId="0ED86821">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highlight w:val="none"/>
                <w:u w:val="none"/>
              </w:rPr>
            </w:pPr>
            <w:r>
              <w:rPr>
                <w:rFonts w:hint="default" w:ascii="仿宋_GB2312" w:hAnsi="宋体" w:eastAsia="仿宋_GB2312" w:cs="仿宋_GB2312"/>
                <w:i w:val="0"/>
                <w:iCs w:val="0"/>
                <w:color w:val="auto"/>
                <w:kern w:val="0"/>
                <w:sz w:val="21"/>
                <w:szCs w:val="21"/>
                <w:highlight w:val="none"/>
                <w:u w:val="none"/>
                <w:lang w:val="en-US" w:eastAsia="zh-CN" w:bidi="ar"/>
              </w:rPr>
              <w:t>租金计算方式：</w:t>
            </w:r>
            <w:r>
              <w:rPr>
                <w:rFonts w:hint="eastAsia" w:ascii="仿宋_GB2312" w:hAnsi="宋体" w:eastAsia="仿宋_GB2312" w:cs="仿宋_GB2312"/>
                <w:i w:val="0"/>
                <w:iCs w:val="0"/>
                <w:color w:val="auto"/>
                <w:kern w:val="0"/>
                <w:sz w:val="21"/>
                <w:szCs w:val="21"/>
                <w:highlight w:val="none"/>
                <w:u w:val="none"/>
                <w:lang w:val="en-US" w:eastAsia="zh-CN" w:bidi="ar"/>
              </w:rPr>
              <w:t>租赁</w:t>
            </w:r>
            <w:r>
              <w:rPr>
                <w:rFonts w:hint="default" w:ascii="仿宋_GB2312" w:hAnsi="宋体" w:eastAsia="仿宋_GB2312" w:cs="仿宋_GB2312"/>
                <w:i w:val="0"/>
                <w:iCs w:val="0"/>
                <w:color w:val="auto"/>
                <w:kern w:val="0"/>
                <w:sz w:val="21"/>
                <w:szCs w:val="21"/>
                <w:highlight w:val="none"/>
                <w:u w:val="none"/>
                <w:lang w:val="en-US" w:eastAsia="zh-CN" w:bidi="ar"/>
              </w:rPr>
              <w:t>面积×租金单价×租赁期限=总金额</w:t>
            </w:r>
          </w:p>
        </w:tc>
      </w:tr>
    </w:tbl>
    <w:p w14:paraId="7D56055B">
      <w:pPr>
        <w:pStyle w:val="3"/>
        <w:rPr>
          <w:rFonts w:hint="eastAsia"/>
          <w:color w:val="auto"/>
          <w:highlight w:val="none"/>
        </w:rPr>
      </w:pPr>
    </w:p>
    <w:p w14:paraId="6E0FC583">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1.2租金按月支付，乙方应在每月25日（含当日，遇国家法定节假日不顺延）前缴付下月租金。甲方应向乙方开具合法税务增值税</w:t>
      </w:r>
      <w:r>
        <w:rPr>
          <w:rFonts w:hint="eastAsia" w:ascii="仿宋" w:hAnsi="仿宋" w:eastAsia="仿宋" w:cs="仿宋"/>
          <w:b/>
          <w:color w:val="auto"/>
          <w:kern w:val="2"/>
          <w:sz w:val="24"/>
          <w:szCs w:val="24"/>
          <w:highlight w:val="none"/>
          <w:u w:val="none"/>
          <w:lang w:val="en-US" w:eastAsia="zh-CN" w:bidi="ar-SA"/>
        </w:rPr>
        <w:fldChar w:fldCharType="begin">
          <w:ffData>
            <w:name w:val="Text1"/>
            <w:enabled/>
            <w:calcOnExit w:val="0"/>
            <w:textInput/>
          </w:ffData>
        </w:fldChar>
      </w:r>
      <w:r>
        <w:rPr>
          <w:rFonts w:hint="eastAsia" w:ascii="仿宋" w:hAnsi="仿宋" w:eastAsia="仿宋" w:cs="仿宋"/>
          <w:b/>
          <w:color w:val="auto"/>
          <w:kern w:val="2"/>
          <w:sz w:val="24"/>
          <w:szCs w:val="24"/>
          <w:highlight w:val="none"/>
          <w:u w:val="none"/>
          <w:lang w:val="en-US" w:eastAsia="zh-CN" w:bidi="ar-SA"/>
        </w:rPr>
        <w:instrText xml:space="preserve">FORMTEXT</w:instrText>
      </w:r>
      <w:r>
        <w:rPr>
          <w:rFonts w:hint="eastAsia" w:ascii="仿宋" w:hAnsi="仿宋" w:eastAsia="仿宋" w:cs="仿宋"/>
          <w:b/>
          <w:color w:val="auto"/>
          <w:kern w:val="2"/>
          <w:sz w:val="24"/>
          <w:szCs w:val="24"/>
          <w:highlight w:val="none"/>
          <w:u w:val="none"/>
          <w:lang w:val="en-US" w:eastAsia="zh-CN" w:bidi="ar-SA"/>
        </w:rPr>
        <w:fldChar w:fldCharType="separate"/>
      </w:r>
      <w:r>
        <w:rPr>
          <w:rFonts w:hint="default" w:ascii="仿宋" w:hAnsi="仿宋" w:eastAsia="仿宋" w:cs="仿宋"/>
          <w:b/>
          <w:color w:val="auto"/>
          <w:kern w:val="2"/>
          <w:sz w:val="24"/>
          <w:szCs w:val="24"/>
          <w:highlight w:val="none"/>
          <w:u w:val="none"/>
          <w:lang w:val="en-US" w:eastAsia="zh-CN" w:bidi="ar-SA"/>
        </w:rPr>
        <w:t>  </w:t>
      </w:r>
      <w:r>
        <w:rPr>
          <w:rFonts w:ascii="Wingdings 2" w:hAnsi="Wingdings 2" w:eastAsia="仿宋" w:cs="仿宋"/>
          <w:color w:val="auto"/>
          <w:sz w:val="24"/>
          <w:szCs w:val="24"/>
          <w:highlight w:val="none"/>
          <w:lang w:eastAsia="zh-CN"/>
        </w:rPr>
        <w:sym w:font="Wingdings 2" w:char="00A3"/>
      </w:r>
      <w:r>
        <w:rPr>
          <w:rFonts w:hint="eastAsia" w:ascii="仿宋" w:hAnsi="仿宋" w:eastAsia="仿宋" w:cs="仿宋"/>
          <w:color w:val="auto"/>
          <w:sz w:val="24"/>
          <w:szCs w:val="24"/>
          <w:highlight w:val="none"/>
          <w:lang w:val="en-US" w:eastAsia="zh-CN"/>
        </w:rPr>
        <w:t>普通/</w:t>
      </w:r>
      <w:r>
        <w:rPr>
          <w:rFonts w:hint="default" w:ascii="仿宋" w:hAnsi="仿宋" w:eastAsia="仿宋" w:cs="仿宋"/>
          <w:b/>
          <w:color w:val="auto"/>
          <w:kern w:val="2"/>
          <w:sz w:val="24"/>
          <w:szCs w:val="24"/>
          <w:highlight w:val="none"/>
          <w:u w:val="none"/>
          <w:lang w:val="en-US" w:eastAsia="zh-CN" w:bidi="ar-SA"/>
        </w:rPr>
        <w:t> </w:t>
      </w:r>
      <w:r>
        <w:rPr>
          <w:rFonts w:ascii="Wingdings 2" w:hAnsi="Wingdings 2" w:eastAsia="仿宋" w:cs="仿宋"/>
          <w:color w:val="auto"/>
          <w:sz w:val="24"/>
          <w:szCs w:val="24"/>
          <w:highlight w:val="none"/>
          <w:lang w:eastAsia="zh-CN"/>
        </w:rPr>
        <w:sym w:font="Wingdings 2" w:char="00A3"/>
      </w:r>
      <w:r>
        <w:rPr>
          <w:rFonts w:hint="eastAsia" w:ascii="仿宋" w:hAnsi="仿宋" w:eastAsia="仿宋" w:cs="仿宋"/>
          <w:color w:val="auto"/>
          <w:sz w:val="24"/>
          <w:szCs w:val="24"/>
          <w:highlight w:val="none"/>
        </w:rPr>
        <w:t>专用发票</w:t>
      </w:r>
      <w:r>
        <w:rPr>
          <w:rFonts w:hint="default" w:ascii="仿宋" w:hAnsi="仿宋" w:eastAsia="仿宋" w:cs="仿宋"/>
          <w:b/>
          <w:color w:val="auto"/>
          <w:kern w:val="2"/>
          <w:sz w:val="24"/>
          <w:szCs w:val="24"/>
          <w:highlight w:val="none"/>
          <w:u w:val="none"/>
          <w:lang w:val="en-US" w:eastAsia="zh-CN" w:bidi="ar-SA"/>
        </w:rPr>
        <w:t>   </w:t>
      </w:r>
      <w:r>
        <w:rPr>
          <w:rFonts w:hint="eastAsia" w:ascii="仿宋" w:hAnsi="仿宋" w:eastAsia="仿宋" w:cs="仿宋"/>
          <w:b/>
          <w:color w:val="auto"/>
          <w:kern w:val="2"/>
          <w:sz w:val="24"/>
          <w:szCs w:val="24"/>
          <w:highlight w:val="none"/>
          <w:u w:val="none"/>
          <w:lang w:val="en-US" w:eastAsia="zh-CN" w:bidi="ar-SA"/>
        </w:rPr>
        <w:fldChar w:fldCharType="end"/>
      </w:r>
      <w:r>
        <w:rPr>
          <w:rFonts w:hint="eastAsia" w:ascii="仿宋_GB2312" w:hAnsi="仿宋_GB2312" w:eastAsia="仿宋_GB2312" w:cs="仿宋_GB2312"/>
          <w:color w:val="auto"/>
          <w:highlight w:val="none"/>
        </w:rPr>
        <w:t>。</w:t>
      </w:r>
    </w:p>
    <w:p w14:paraId="7A12552F">
      <w:pPr>
        <w:spacing w:line="44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b/>
          <w:bCs/>
          <w:color w:val="auto"/>
          <w:highlight w:val="none"/>
        </w:rPr>
        <w:t>租赁保证金</w:t>
      </w:r>
    </w:p>
    <w:p w14:paraId="23A5A9D3">
      <w:pPr>
        <w:pStyle w:val="8"/>
        <w:tabs>
          <w:tab w:val="left" w:pos="4395"/>
        </w:tabs>
        <w:spacing w:after="0" w:line="360" w:lineRule="auto"/>
        <w:ind w:left="0" w:leftChars="0"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4"/>
          <w:szCs w:val="22"/>
          <w:highlight w:val="none"/>
          <w:lang w:val="en-US" w:eastAsia="zh-CN" w:bidi="ar-SA"/>
        </w:rPr>
        <w:t xml:space="preserve">2.1乙方须于签订合同之日起15个日历天内将租赁保证金合计 ¥ </w:t>
      </w:r>
      <w:r>
        <w:rPr>
          <w:rFonts w:hint="eastAsia" w:ascii="仿宋_GB2312" w:hAnsi="仿宋_GB2312" w:eastAsia="仿宋_GB2312" w:cs="仿宋_GB2312"/>
          <w:color w:val="auto"/>
          <w:kern w:val="2"/>
          <w:sz w:val="24"/>
          <w:szCs w:val="22"/>
          <w:highlight w:val="none"/>
          <w:u w:val="single"/>
          <w:lang w:val="en-US" w:eastAsia="zh-CN" w:bidi="ar-SA"/>
        </w:rPr>
        <w:t xml:space="preserve">    </w:t>
      </w:r>
      <w:r>
        <w:rPr>
          <w:rFonts w:hint="eastAsia" w:ascii="仿宋_GB2312" w:hAnsi="仿宋_GB2312" w:eastAsia="仿宋_GB2312" w:cs="仿宋_GB2312"/>
          <w:color w:val="auto"/>
          <w:kern w:val="2"/>
          <w:sz w:val="24"/>
          <w:szCs w:val="22"/>
          <w:highlight w:val="none"/>
          <w:lang w:val="en-US" w:eastAsia="zh-CN" w:bidi="ar-SA"/>
        </w:rPr>
        <w:t>元（金额为首年三个月的租金）全额汇款至甲方指定的银行账户，否则甲方有权终止合同，取消其承租资格。</w:t>
      </w:r>
    </w:p>
    <w:p w14:paraId="2CF6565F">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租赁期限届满，在乙方结清租赁期内所有租金、物业管理费、其他应付费用及因本次租赁行为所产生的一切费用，并按本合同约定履行了向甲方交该物业时应承担的所有义务且经甲方核实无其他违约行为后30日内，乙方凭甲方开具的租赁合同保证金收据原件向甲方申请退还租赁合同保证金，甲方予以全额退还（不计付利息）。</w:t>
      </w:r>
    </w:p>
    <w:p w14:paraId="0F2DDDA6">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在租赁期限内，甲方行使本合同中约定的租赁保证金抵扣权，将租赁保证金抵扣相应的违约金、租金等费用的，甲方有权要求乙方补齐租赁保证金，使租赁保证金维持本合同2.</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约定的金额。</w:t>
      </w:r>
    </w:p>
    <w:p w14:paraId="1B02CE76">
      <w:pPr>
        <w:spacing w:before="156" w:beforeLines="50" w:line="440" w:lineRule="exact"/>
        <w:ind w:right="322" w:rightChars="134"/>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3、物业管理费</w:t>
      </w:r>
    </w:p>
    <w:p w14:paraId="06877765">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w:t>
      </w:r>
      <w:r>
        <w:rPr>
          <w:rFonts w:hint="eastAsia" w:ascii="仿宋_GB2312" w:hAnsi="仿宋_GB2312" w:eastAsia="仿宋_GB2312" w:cs="仿宋_GB2312"/>
          <w:color w:val="auto"/>
          <w:highlight w:val="none"/>
          <w:lang w:val="en-US" w:eastAsia="zh-CN"/>
        </w:rPr>
        <w:t xml:space="preserve">物业管理费单价为：¥ 10元/㎡/月，每月物业管理费为¥ 831.2元（含税）；合同期内物业管理费含税总额¥ 49,872元，合同期内不含税总额¥ 47,049.06元（大写：人民币 肆万柒仟零肆拾玖元零陆分 ），税率6% </w:t>
      </w:r>
      <w:r>
        <w:rPr>
          <w:rFonts w:hint="eastAsia" w:ascii="仿宋_GB2312" w:hAnsi="仿宋_GB2312" w:eastAsia="仿宋_GB2312" w:cs="仿宋_GB2312"/>
          <w:color w:val="auto"/>
          <w:highlight w:val="none"/>
        </w:rPr>
        <w:t>。</w:t>
      </w:r>
    </w:p>
    <w:p w14:paraId="5BC88730">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3.2乙方须按</w:t>
      </w:r>
      <w:r>
        <w:rPr>
          <w:rFonts w:hint="eastAsia" w:ascii="仿宋_GB2312" w:hAnsi="仿宋_GB2312" w:eastAsia="仿宋_GB2312" w:cs="仿宋_GB2312"/>
          <w:color w:val="auto"/>
          <w:highlight w:val="none"/>
          <w:lang w:val="en-US" w:eastAsia="zh-CN"/>
        </w:rPr>
        <w:t>月向甲方</w:t>
      </w:r>
      <w:r>
        <w:rPr>
          <w:rFonts w:hint="eastAsia" w:ascii="仿宋_GB2312" w:hAnsi="仿宋_GB2312" w:eastAsia="仿宋_GB2312" w:cs="仿宋_GB2312"/>
          <w:color w:val="auto"/>
          <w:highlight w:val="none"/>
        </w:rPr>
        <w:t>支付物业管理费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乙方</w:t>
      </w:r>
      <w:r>
        <w:rPr>
          <w:rFonts w:hint="eastAsia" w:ascii="仿宋_GB2312" w:hAnsi="仿宋_GB2312" w:eastAsia="仿宋_GB2312" w:cs="仿宋_GB2312"/>
          <w:color w:val="auto"/>
          <w:highlight w:val="none"/>
        </w:rPr>
        <w:t>应在每月25日（含当日，遇国家法定节假日不顺延）前缴付下月</w:t>
      </w:r>
      <w:r>
        <w:rPr>
          <w:rFonts w:hint="eastAsia" w:ascii="仿宋_GB2312" w:hAnsi="仿宋_GB2312" w:eastAsia="仿宋_GB2312" w:cs="仿宋_GB2312"/>
          <w:color w:val="auto"/>
          <w:highlight w:val="none"/>
          <w:lang w:val="en-US" w:eastAsia="zh-CN"/>
        </w:rPr>
        <w:t>物业管理费</w:t>
      </w:r>
      <w:r>
        <w:rPr>
          <w:rFonts w:hint="eastAsia" w:ascii="仿宋_GB2312" w:hAnsi="仿宋_GB2312" w:eastAsia="仿宋_GB2312" w:cs="仿宋_GB2312"/>
          <w:color w:val="auto"/>
          <w:highlight w:val="none"/>
        </w:rPr>
        <w:t>。甲方应向乙方开具合法税务增值税</w:t>
      </w:r>
      <w:r>
        <w:rPr>
          <w:rFonts w:hint="eastAsia" w:ascii="仿宋" w:hAnsi="仿宋" w:eastAsia="仿宋" w:cs="仿宋"/>
          <w:b/>
          <w:color w:val="auto"/>
          <w:kern w:val="2"/>
          <w:sz w:val="24"/>
          <w:szCs w:val="24"/>
          <w:highlight w:val="none"/>
          <w:u w:val="none"/>
          <w:lang w:val="en-US" w:eastAsia="zh-CN" w:bidi="ar-SA"/>
        </w:rPr>
        <w:fldChar w:fldCharType="begin">
          <w:ffData>
            <w:name w:val="Text1"/>
            <w:enabled/>
            <w:calcOnExit w:val="0"/>
            <w:textInput/>
          </w:ffData>
        </w:fldChar>
      </w:r>
      <w:r>
        <w:rPr>
          <w:rFonts w:hint="eastAsia" w:ascii="仿宋" w:hAnsi="仿宋" w:eastAsia="仿宋" w:cs="仿宋"/>
          <w:b/>
          <w:color w:val="auto"/>
          <w:kern w:val="2"/>
          <w:sz w:val="24"/>
          <w:szCs w:val="24"/>
          <w:highlight w:val="none"/>
          <w:u w:val="none"/>
          <w:lang w:val="en-US" w:eastAsia="zh-CN" w:bidi="ar-SA"/>
        </w:rPr>
        <w:instrText xml:space="preserve">FORMTEXT</w:instrText>
      </w:r>
      <w:r>
        <w:rPr>
          <w:rFonts w:hint="eastAsia" w:ascii="仿宋" w:hAnsi="仿宋" w:eastAsia="仿宋" w:cs="仿宋"/>
          <w:b/>
          <w:color w:val="auto"/>
          <w:kern w:val="2"/>
          <w:sz w:val="24"/>
          <w:szCs w:val="24"/>
          <w:highlight w:val="none"/>
          <w:u w:val="none"/>
          <w:lang w:val="en-US" w:eastAsia="zh-CN" w:bidi="ar-SA"/>
        </w:rPr>
        <w:fldChar w:fldCharType="separate"/>
      </w:r>
      <w:r>
        <w:rPr>
          <w:rFonts w:hint="default" w:ascii="仿宋" w:hAnsi="仿宋" w:eastAsia="仿宋" w:cs="仿宋"/>
          <w:b/>
          <w:color w:val="auto"/>
          <w:kern w:val="2"/>
          <w:sz w:val="24"/>
          <w:szCs w:val="24"/>
          <w:highlight w:val="none"/>
          <w:u w:val="none"/>
          <w:lang w:val="en-US" w:eastAsia="zh-CN" w:bidi="ar-SA"/>
        </w:rPr>
        <w:t>  </w:t>
      </w:r>
      <w:r>
        <w:rPr>
          <w:rFonts w:ascii="Wingdings 2" w:hAnsi="Wingdings 2" w:eastAsia="仿宋" w:cs="仿宋"/>
          <w:color w:val="auto"/>
          <w:sz w:val="24"/>
          <w:szCs w:val="24"/>
          <w:highlight w:val="none"/>
          <w:lang w:eastAsia="zh-CN"/>
        </w:rPr>
        <w:sym w:font="Wingdings 2" w:char="00A3"/>
      </w:r>
      <w:r>
        <w:rPr>
          <w:rFonts w:hint="eastAsia" w:ascii="仿宋" w:hAnsi="仿宋" w:eastAsia="仿宋" w:cs="仿宋"/>
          <w:color w:val="auto"/>
          <w:sz w:val="24"/>
          <w:szCs w:val="24"/>
          <w:highlight w:val="none"/>
          <w:lang w:val="en-US" w:eastAsia="zh-CN"/>
        </w:rPr>
        <w:t>普通/</w:t>
      </w:r>
      <w:r>
        <w:rPr>
          <w:rFonts w:hint="default" w:ascii="仿宋" w:hAnsi="仿宋" w:eastAsia="仿宋" w:cs="仿宋"/>
          <w:b/>
          <w:color w:val="auto"/>
          <w:kern w:val="2"/>
          <w:sz w:val="24"/>
          <w:szCs w:val="24"/>
          <w:highlight w:val="none"/>
          <w:u w:val="none"/>
          <w:lang w:val="en-US" w:eastAsia="zh-CN" w:bidi="ar-SA"/>
        </w:rPr>
        <w:t> </w:t>
      </w:r>
      <w:r>
        <w:rPr>
          <w:rFonts w:ascii="Wingdings 2" w:hAnsi="Wingdings 2" w:eastAsia="仿宋" w:cs="仿宋"/>
          <w:color w:val="auto"/>
          <w:sz w:val="24"/>
          <w:szCs w:val="24"/>
          <w:highlight w:val="none"/>
          <w:lang w:eastAsia="zh-CN"/>
        </w:rPr>
        <w:sym w:font="Wingdings 2" w:char="00A3"/>
      </w:r>
      <w:r>
        <w:rPr>
          <w:rFonts w:hint="eastAsia" w:ascii="仿宋" w:hAnsi="仿宋" w:eastAsia="仿宋" w:cs="仿宋"/>
          <w:color w:val="auto"/>
          <w:sz w:val="24"/>
          <w:szCs w:val="24"/>
          <w:highlight w:val="none"/>
        </w:rPr>
        <w:t>专用发票</w:t>
      </w:r>
      <w:r>
        <w:rPr>
          <w:rFonts w:hint="default" w:ascii="仿宋" w:hAnsi="仿宋" w:eastAsia="仿宋" w:cs="仿宋"/>
          <w:b/>
          <w:color w:val="auto"/>
          <w:kern w:val="2"/>
          <w:sz w:val="24"/>
          <w:szCs w:val="24"/>
          <w:highlight w:val="none"/>
          <w:u w:val="none"/>
          <w:lang w:val="en-US" w:eastAsia="zh-CN" w:bidi="ar-SA"/>
        </w:rPr>
        <w:t>   </w:t>
      </w:r>
      <w:r>
        <w:rPr>
          <w:rFonts w:hint="eastAsia" w:ascii="仿宋" w:hAnsi="仿宋" w:eastAsia="仿宋" w:cs="仿宋"/>
          <w:b/>
          <w:color w:val="auto"/>
          <w:kern w:val="2"/>
          <w:sz w:val="24"/>
          <w:szCs w:val="24"/>
          <w:highlight w:val="none"/>
          <w:u w:val="none"/>
          <w:lang w:val="en-US" w:eastAsia="zh-CN" w:bidi="ar-SA"/>
        </w:rPr>
        <w:fldChar w:fldCharType="end"/>
      </w:r>
      <w:r>
        <w:rPr>
          <w:rFonts w:hint="eastAsia" w:ascii="仿宋_GB2312" w:hAnsi="仿宋_GB2312" w:eastAsia="仿宋_GB2312" w:cs="仿宋_GB2312"/>
          <w:color w:val="auto"/>
          <w:highlight w:val="none"/>
        </w:rPr>
        <w:t>。</w:t>
      </w:r>
    </w:p>
    <w:p w14:paraId="45D76D13">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乙方通过银行转帐的方式将租金、租赁保证金</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物业管理费</w:t>
      </w:r>
      <w:r>
        <w:rPr>
          <w:rFonts w:hint="eastAsia" w:ascii="仿宋_GB2312" w:hAnsi="仿宋_GB2312" w:eastAsia="仿宋_GB2312" w:cs="仿宋_GB2312"/>
          <w:color w:val="auto"/>
          <w:highlight w:val="none"/>
        </w:rPr>
        <w:t>等应交费用汇至甲方指定的银行帐号：</w:t>
      </w:r>
    </w:p>
    <w:p w14:paraId="76C80A25">
      <w:pPr>
        <w:spacing w:line="44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单位名称：</w:t>
      </w:r>
      <w:r>
        <w:rPr>
          <w:rFonts w:hint="eastAsia" w:ascii="仿宋_GB2312" w:hAnsi="仿宋_GB2312" w:eastAsia="仿宋_GB2312" w:cs="仿宋_GB2312"/>
          <w:color w:val="auto"/>
          <w:highlight w:val="none"/>
          <w:lang w:eastAsia="zh-CN"/>
        </w:rPr>
        <w:t>佛山市顺博城市运营服务有限公司</w:t>
      </w:r>
    </w:p>
    <w:p w14:paraId="596266AB">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纳税识别号：</w:t>
      </w:r>
      <w:r>
        <w:rPr>
          <w:rFonts w:hint="eastAsia"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rPr>
        <w:t>14406005536106502</w:t>
      </w:r>
    </w:p>
    <w:p w14:paraId="55D0E161">
      <w:pPr>
        <w:spacing w:line="4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开户行及账号：平安银行佛山分行1101 0</w:t>
      </w:r>
      <w:r>
        <w:rPr>
          <w:rFonts w:hint="eastAsia" w:ascii="仿宋_GB2312" w:hAnsi="仿宋_GB2312" w:eastAsia="仿宋_GB2312" w:cs="仿宋_GB2312"/>
          <w:color w:val="auto"/>
          <w:highlight w:val="none"/>
          <w:lang w:eastAsia="zh-CN"/>
        </w:rPr>
        <w:t>44</w:t>
      </w:r>
      <w:r>
        <w:rPr>
          <w:rFonts w:hint="eastAsia" w:ascii="仿宋_GB2312" w:hAnsi="仿宋_GB2312" w:eastAsia="仿宋_GB2312" w:cs="仿宋_GB2312"/>
          <w:color w:val="auto"/>
          <w:highlight w:val="none"/>
        </w:rPr>
        <w:t>1 5374 01</w:t>
      </w:r>
    </w:p>
    <w:p w14:paraId="33F71613">
      <w:pPr>
        <w:spacing w:before="156" w:beforeLines="50" w:line="440" w:lineRule="exact"/>
        <w:ind w:right="322" w:rightChars="134"/>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 xml:space="preserve">4、 </w:t>
      </w:r>
      <w:r>
        <w:rPr>
          <w:rFonts w:hint="default" w:ascii="仿宋_GB2312" w:hAnsi="仿宋_GB2312" w:eastAsia="仿宋_GB2312" w:cs="仿宋_GB2312"/>
          <w:b/>
          <w:bCs/>
          <w:color w:val="auto"/>
          <w:highlight w:val="none"/>
          <w:lang w:val="en-US" w:eastAsia="zh-CN"/>
        </w:rPr>
        <w:t>物业服务内容</w:t>
      </w:r>
    </w:p>
    <w:p w14:paraId="5877ABC5">
      <w:pPr>
        <w:spacing w:line="44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4.1</w:t>
      </w:r>
      <w:r>
        <w:rPr>
          <w:rFonts w:hint="default" w:ascii="仿宋_GB2312" w:hAnsi="仿宋_GB2312" w:eastAsia="仿宋_GB2312" w:cs="仿宋_GB2312"/>
          <w:color w:val="auto"/>
          <w:highlight w:val="none"/>
          <w:lang w:val="en-US" w:eastAsia="zh-CN"/>
        </w:rPr>
        <w:t>物业共用部位、物业共用设施设备的运行、维修、养护和管理。</w:t>
      </w:r>
    </w:p>
    <w:p w14:paraId="31232871">
      <w:pPr>
        <w:spacing w:line="44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4.2</w:t>
      </w:r>
      <w:r>
        <w:rPr>
          <w:rFonts w:hint="default" w:ascii="仿宋_GB2312" w:hAnsi="仿宋_GB2312" w:eastAsia="仿宋_GB2312" w:cs="仿宋_GB2312"/>
          <w:color w:val="auto"/>
          <w:highlight w:val="none"/>
          <w:lang w:val="en-US" w:eastAsia="zh-CN"/>
        </w:rPr>
        <w:t>物业相关场地雨、污水</w:t>
      </w:r>
      <w:r>
        <w:rPr>
          <w:rFonts w:hint="eastAsia" w:ascii="仿宋_GB2312" w:hAnsi="仿宋_GB2312" w:eastAsia="仿宋_GB2312" w:cs="仿宋_GB2312"/>
          <w:color w:val="auto"/>
          <w:highlight w:val="none"/>
          <w:lang w:val="en-US" w:eastAsia="zh-CN"/>
        </w:rPr>
        <w:t>外接</w:t>
      </w:r>
      <w:r>
        <w:rPr>
          <w:rFonts w:hint="default" w:ascii="仿宋_GB2312" w:hAnsi="仿宋_GB2312" w:eastAsia="仿宋_GB2312" w:cs="仿宋_GB2312"/>
          <w:color w:val="auto"/>
          <w:highlight w:val="none"/>
          <w:lang w:val="en-US" w:eastAsia="zh-CN"/>
        </w:rPr>
        <w:t>管道的疏通。</w:t>
      </w:r>
    </w:p>
    <w:p w14:paraId="4DEFF864">
      <w:pPr>
        <w:spacing w:line="44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4.3</w:t>
      </w:r>
      <w:r>
        <w:rPr>
          <w:rFonts w:hint="default" w:ascii="仿宋_GB2312" w:hAnsi="仿宋_GB2312" w:eastAsia="仿宋_GB2312" w:cs="仿宋_GB2312"/>
          <w:color w:val="auto"/>
          <w:highlight w:val="none"/>
          <w:lang w:val="en-US" w:eastAsia="zh-CN"/>
        </w:rPr>
        <w:t>公共绿化的养护和管理。</w:t>
      </w:r>
    </w:p>
    <w:p w14:paraId="58732863">
      <w:pPr>
        <w:spacing w:line="44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4.4</w:t>
      </w:r>
      <w:r>
        <w:rPr>
          <w:rFonts w:hint="default" w:ascii="仿宋_GB2312" w:hAnsi="仿宋_GB2312" w:eastAsia="仿宋_GB2312" w:cs="仿宋_GB2312"/>
          <w:color w:val="auto"/>
          <w:highlight w:val="none"/>
          <w:lang w:val="en-US" w:eastAsia="zh-CN"/>
        </w:rPr>
        <w:t>物业管理区域内公共秩序、安全防范等事项的协助场地使用，包括公共区域消防设施的维护等。</w:t>
      </w:r>
    </w:p>
    <w:p w14:paraId="660E762D">
      <w:pPr>
        <w:spacing w:line="44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4.5</w:t>
      </w:r>
      <w:r>
        <w:rPr>
          <w:rFonts w:hint="default" w:ascii="仿宋_GB2312" w:hAnsi="仿宋_GB2312" w:eastAsia="仿宋_GB2312" w:cs="仿宋_GB2312"/>
          <w:color w:val="auto"/>
          <w:highlight w:val="none"/>
          <w:lang w:val="en-US" w:eastAsia="zh-CN"/>
        </w:rPr>
        <w:t>车辆行驶停放场地使用，保障道路畅通。</w:t>
      </w:r>
    </w:p>
    <w:p w14:paraId="087D5F9F">
      <w:pPr>
        <w:spacing w:line="44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4.6</w:t>
      </w:r>
      <w:r>
        <w:rPr>
          <w:rFonts w:hint="default" w:ascii="仿宋_GB2312" w:hAnsi="仿宋_GB2312" w:eastAsia="仿宋_GB2312" w:cs="仿宋_GB2312"/>
          <w:color w:val="auto"/>
          <w:highlight w:val="none"/>
          <w:lang w:val="en-US" w:eastAsia="zh-CN"/>
        </w:rPr>
        <w:t>乙方自用部位、自用设施设备的维修养护，在乙方提出委托时，甲方可以接受委托并合理收费。</w:t>
      </w:r>
    </w:p>
    <w:p w14:paraId="7C7D3783">
      <w:pPr>
        <w:spacing w:line="44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4.7</w:t>
      </w:r>
      <w:r>
        <w:rPr>
          <w:rFonts w:hint="default" w:ascii="仿宋_GB2312" w:hAnsi="仿宋_GB2312" w:eastAsia="仿宋_GB2312" w:cs="仿宋_GB2312"/>
          <w:color w:val="auto"/>
          <w:highlight w:val="none"/>
          <w:lang w:val="en-US" w:eastAsia="zh-CN"/>
        </w:rPr>
        <w:t>提供装饰装修期间的场地使用。</w:t>
      </w:r>
    </w:p>
    <w:p w14:paraId="24035938">
      <w:pPr>
        <w:spacing w:before="156" w:beforeLines="50" w:line="44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第四条 物业交付及附属设施、设备</w:t>
      </w:r>
    </w:p>
    <w:p w14:paraId="24DBE53F">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1、甲方提供用电、用水接驳点，接驳线路工程及费用由乙方负责。乙方也可向供电部门单独申报增容用电，因办理供电增容所需交纳的全部费用由乙方承担。具体水电收费事宜另签订合同约定。</w:t>
      </w:r>
    </w:p>
    <w:p w14:paraId="0BB490FF">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2、网络及通讯电视由乙方负责自行报装与接驳，相关费用由乙方自行承担。</w:t>
      </w:r>
    </w:p>
    <w:p w14:paraId="75E31333">
      <w:pPr>
        <w:spacing w:before="156" w:beforeLines="50" w:line="44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第五条 物业使用</w:t>
      </w:r>
    </w:p>
    <w:p w14:paraId="74E2DBD7">
      <w:pPr>
        <w:tabs>
          <w:tab w:val="left" w:pos="1440"/>
        </w:tabs>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乙方保证承租该物业期间遵守国家法律、法规、规章和政府其他规范性文件的各项规定，遵守甲方及物业管理公司的管理制度，不违法经营或者进行违法犯罪活动。因乙方不遵守有关政府主管部门所制定的规定所引致的所有后果，均由乙方自行承担，概与甲方无关。</w:t>
      </w:r>
    </w:p>
    <w:p w14:paraId="3A27486F">
      <w:pPr>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2、租赁期内乙方保证严格按照约定用途使用该物业，未征得甲方书面同意且获得相关政府部门批准（如需政府批准）前，乙方不得擅自改变使用用途，否则视为乙方根本违约，甲方有权解除本合同并按照约定追究乙方违约责任。乙方如确有客观原因需变更用途，需提前30天向甲方提出书面申请，并经甲方书面同意后，方可变更用途。</w:t>
      </w:r>
    </w:p>
    <w:p w14:paraId="718C6E0D">
      <w:pPr>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3、乙方及其工作人员在该物业内的经营活动、债权债务、事故责任及其对他人的侵权行为、违约行为，由乙方自行承担相应的法律责任，与甲方无关。如果导致甲方损失或对外承担赔偿责任的（包括但不限于诉讼费用及律师费用支出、其他损失等），甲方有权直接在乙方已交任一笔款项中抵扣，已交款不足以抵扣的，甲方还有权另行追偿。</w:t>
      </w:r>
    </w:p>
    <w:p w14:paraId="698689D2">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4、乙方使用该物业时不得超过该物业荷载，如因乙方违反负荷限制约定，造成建筑及设施损坏或人员伤亡的，一切责任均由乙方承担。生产设备锚固或改动建筑物任何部分均须经甲方同意后方能施工。</w:t>
      </w:r>
    </w:p>
    <w:p w14:paraId="22C9D8B8">
      <w:pPr>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5、乙方不得占用该物业以外的其他公共地方。未经甲方书面同意及办理必要的政府审批手续，</w:t>
      </w:r>
      <w:bookmarkStart w:id="0" w:name="_Hlk53532204"/>
      <w:r>
        <w:rPr>
          <w:rFonts w:hint="eastAsia" w:ascii="仿宋_GB2312" w:hAnsi="仿宋_GB2312" w:eastAsia="仿宋_GB2312" w:cs="仿宋_GB2312"/>
          <w:bCs/>
          <w:color w:val="auto"/>
          <w:highlight w:val="none"/>
        </w:rPr>
        <w:t>乙方不应也不得在该物业以外其他部位树立广告牌或附加任何物件或涂涮任何涂料或做任何标记或做出任何更改</w:t>
      </w:r>
      <w:bookmarkEnd w:id="0"/>
      <w:r>
        <w:rPr>
          <w:rFonts w:hint="eastAsia" w:ascii="仿宋_GB2312" w:hAnsi="仿宋_GB2312" w:eastAsia="仿宋_GB2312" w:cs="仿宋_GB2312"/>
          <w:bCs/>
          <w:color w:val="auto"/>
          <w:highlight w:val="none"/>
        </w:rPr>
        <w:t>，包括但不局限于该物业的外立面、窗户、室内门外。同时，未经甲方、物业管理公司书面同意，乙方不得在该物业之外的楼宇公共区域摆放物品或进行商品展览、展销。乙方需在收到甲方通知起1日内清除完毕所占用的公共区域上的物品或设施。乙方未经甲方同意占用该物业以外的公共区域的，由此产生法律责任及损失由乙方自行承担，导致甲方损失的，甲方有权直接在乙方已交任一笔款项中抵扣并追偿。</w:t>
      </w:r>
    </w:p>
    <w:p w14:paraId="7455C34D">
      <w:pPr>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6、租赁期间，乙方不得擅自改变该物业的结构，不论乙方因何种原因造成房屋或配套设备毁损的，甲方均有权要求乙方负责恢复原状；乙方拒不恢复的，甲方有权委托第三方进入该物业进行恢复，所产生的一切费用由乙方承担。</w:t>
      </w:r>
    </w:p>
    <w:p w14:paraId="7F78E462">
      <w:pPr>
        <w:tabs>
          <w:tab w:val="left" w:pos="1440"/>
        </w:tabs>
        <w:spacing w:before="156" w:beforeLines="50" w:line="440" w:lineRule="exact"/>
        <w:ind w:left="361" w:right="322" w:rightChars="134" w:hanging="361" w:hangingChars="15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第六条  物业装修</w:t>
      </w:r>
    </w:p>
    <w:p w14:paraId="7501E665">
      <w:pPr>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1、乙方对该物业进行内部装修时，不得更改该物业的原设计和基本结构，并应在装修前向甲方提交装修设计图纸，</w:t>
      </w:r>
      <w:r>
        <w:rPr>
          <w:rFonts w:hint="default" w:ascii="仿宋_GB2312" w:hAnsi="仿宋_GB2312" w:eastAsia="仿宋_GB2312" w:cs="仿宋_GB2312"/>
          <w:color w:val="auto"/>
          <w:highlight w:val="none"/>
        </w:rPr>
        <w:t>涉及结构承重、消防设施变动的，须经原设计单位或具有相应资质的设计单位复核，并取得甲方及政府部门同意。</w:t>
      </w:r>
      <w:r>
        <w:rPr>
          <w:rFonts w:hint="eastAsia" w:ascii="仿宋_GB2312" w:hAnsi="仿宋_GB2312" w:eastAsia="仿宋_GB2312" w:cs="仿宋_GB2312"/>
          <w:bCs/>
          <w:color w:val="auto"/>
          <w:highlight w:val="none"/>
        </w:rPr>
        <w:t>取得书面同意后（乙方应承担的责任不因甲方的同意而减轻或者免除，甲方也无须因该等同意而承担任何责任），方可施工。需政府有关部门批准的，乙方应取得相关报建批准文件。因向政府部门报批而引起的一切费用均由乙方承担。在装修过程中，乙方及其委托的装修公司需遵守甲方或物业管理公司制定的装修管理制度，并承担于装修工程中产生之相关费用及其他一切法律责任(包括但不限于拆卸、改动及因改动而发生之复建、复原等)2、乙方装修完成后应通知甲方，经甲方验收合格，如需报该物业所在市公安消防部门进行消防验收、备案的，需经消防验收、备案合格并在【</w:t>
      </w:r>
      <w:r>
        <w:rPr>
          <w:rFonts w:hint="eastAsia" w:ascii="仿宋_GB2312" w:hAnsi="仿宋_GB2312" w:eastAsia="仿宋_GB2312" w:cs="仿宋_GB2312"/>
          <w:color w:val="auto"/>
          <w:highlight w:val="none"/>
        </w:rPr>
        <w:t>3</w:t>
      </w:r>
      <w:r>
        <w:rPr>
          <w:rFonts w:hint="eastAsia" w:ascii="仿宋_GB2312" w:hAnsi="仿宋_GB2312" w:eastAsia="仿宋_GB2312" w:cs="仿宋_GB2312"/>
          <w:bCs/>
          <w:color w:val="auto"/>
          <w:highlight w:val="none"/>
        </w:rPr>
        <w:t>】日将相关证明资料副本交给甲方存档。完成上述甲方、物业管理公司、消防部门的验收、备案、存档后该物业装修部分方可投入使用。若乙方在未通过甲方、物业管理公司及消防验收、备案的情况下擅自使用该物业，由此引致的任何后果一概由乙方承担。</w:t>
      </w:r>
    </w:p>
    <w:p w14:paraId="11ABA331">
      <w:pPr>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3、对于乙方于装修中损坏之公共设施及装饰，乙方须及时维修以恢复原状，所产生的费用均由乙方承担。若乙方拒绝恢复原状，甲方可自行组织修复，并有权直接从乙方租赁保证金中扣除恢复原状所需费用，当租赁保证金不足以支付违约金、赔偿金时，甲方有权继续要求乙方支付。</w:t>
      </w:r>
    </w:p>
    <w:p w14:paraId="2ED9128E">
      <w:pPr>
        <w:pStyle w:val="13"/>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kern w:val="2"/>
          <w:highlight w:val="none"/>
        </w:rPr>
        <w:t>4、乙方应自行购买与租赁单元相应的保险，并保证租赁期间持续有效，包括但不限于财产一切险、附加盗窃险、公众责任险。无论乙方是否购买上述保险，根据法律法规和本合同约定应当由乙方承担的相关责任及损失均由乙方自行承担。</w:t>
      </w:r>
    </w:p>
    <w:p w14:paraId="68E7F6E4">
      <w:pPr>
        <w:spacing w:before="156" w:beforeLines="50" w:line="440" w:lineRule="exac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第七条 物业转租</w:t>
      </w:r>
    </w:p>
    <w:p w14:paraId="75068343">
      <w:pPr>
        <w:spacing w:line="440" w:lineRule="exact"/>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Cs/>
          <w:color w:val="auto"/>
          <w:szCs w:val="24"/>
          <w:highlight w:val="none"/>
        </w:rPr>
        <w:t>1、未经甲方同意，乙方不得擅自转租该物业。</w:t>
      </w:r>
    </w:p>
    <w:p w14:paraId="594D86BF">
      <w:pPr>
        <w:spacing w:line="440" w:lineRule="exact"/>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Cs/>
          <w:color w:val="auto"/>
          <w:szCs w:val="24"/>
          <w:highlight w:val="none"/>
        </w:rPr>
        <w:t>2、转租须经甲方书面同意，且必须明确乙方进行转租，甲方与乙方之间的租赁合同继续有效，第三人不得将该物业再行转租</w:t>
      </w:r>
      <w:r>
        <w:rPr>
          <w:rFonts w:hint="eastAsia" w:ascii="仿宋_GB2312" w:hAnsi="仿宋_GB2312" w:eastAsia="仿宋_GB2312" w:cs="仿宋_GB2312"/>
          <w:bCs/>
          <w:color w:val="auto"/>
          <w:szCs w:val="24"/>
          <w:highlight w:val="none"/>
          <w:lang w:eastAsia="zh-CN"/>
        </w:rPr>
        <w:t>。</w:t>
      </w:r>
      <w:r>
        <w:rPr>
          <w:rFonts w:hint="eastAsia" w:ascii="仿宋_GB2312" w:hAnsi="仿宋_GB2312" w:eastAsia="仿宋_GB2312" w:cs="仿宋_GB2312"/>
          <w:bCs/>
          <w:color w:val="auto"/>
          <w:szCs w:val="24"/>
          <w:highlight w:val="none"/>
          <w:lang w:val="en-US" w:eastAsia="zh-CN"/>
        </w:rPr>
        <w:t>未经甲方同意，第三人仅可在本合同第一条第3款规定的物业用途范围内进行物业使用，不得改变该物业的用途。</w:t>
      </w:r>
      <w:r>
        <w:rPr>
          <w:rFonts w:hint="eastAsia" w:ascii="仿宋_GB2312" w:hAnsi="仿宋_GB2312" w:eastAsia="仿宋_GB2312" w:cs="仿宋_GB2312"/>
          <w:bCs/>
          <w:color w:val="auto"/>
          <w:szCs w:val="24"/>
          <w:highlight w:val="none"/>
        </w:rPr>
        <w:t>第三人对该物业造成损失的，由乙方赔偿损失。</w:t>
      </w:r>
    </w:p>
    <w:p w14:paraId="73F5238F">
      <w:pPr>
        <w:spacing w:line="440" w:lineRule="exact"/>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Cs/>
          <w:color w:val="auto"/>
          <w:szCs w:val="24"/>
          <w:highlight w:val="none"/>
        </w:rPr>
        <w:t>3、经甲方书面同意转租的，转租合同的终止日期不得超过原租赁合同约定的终止日期，否则甲方有权解除租赁合同，收回物业并依法追究转租人的法律和经济责任。</w:t>
      </w:r>
    </w:p>
    <w:p w14:paraId="7D260DDC">
      <w:pPr>
        <w:spacing w:line="440" w:lineRule="exact"/>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Cs/>
          <w:color w:val="auto"/>
          <w:szCs w:val="24"/>
          <w:highlight w:val="none"/>
        </w:rPr>
        <w:t>4、转租期间，原租赁合同变更、解除或终止，转租合同也随之相应变更、解除或终止。</w:t>
      </w:r>
    </w:p>
    <w:p w14:paraId="41BCBAC6">
      <w:pPr>
        <w:spacing w:before="156" w:beforeLines="50" w:line="440" w:lineRule="exac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第八条 物业交还</w:t>
      </w:r>
    </w:p>
    <w:p w14:paraId="0EF09D04">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1、租赁期满或租赁合同提前终止时，乙方应在甲方规定的搬迁期限（即3天内）前将该物业交还甲方，否则逾期或未按约定交还该物业期间，每逾期一日，将由乙方按照合同终止时日租金标准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合同约定的月租金/30</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的2倍向甲方支付场地占用费。此期间的物业管理费、水电费等费用由乙方承担。以上场地占用费、管理费及水电费等费用有权从租赁保证金中扣除，当租赁保证金不足扣除时，甲方有权继续要求乙方支付。</w:t>
      </w:r>
    </w:p>
    <w:p w14:paraId="57A9BF2D">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逾期超过10日以上的，甲方有权选择一种或多种方式处理：①按照合同终止时的日租金标准的2倍计算场地占用费；②根据需要委托第三方对物业进行清理、恢复原状，乙方置于物业内的私人物品视为废弃物，所产生的费用由乙方承担，甲方有权在租赁保证金中抵扣，租赁保证金不足的，甲方可另行追偿。③甲方以物业权属人的名义向供水供电部门申请停水停电。</w:t>
      </w:r>
    </w:p>
    <w:p w14:paraId="25F405BD">
      <w:pPr>
        <w:numPr>
          <w:ilvl w:val="0"/>
          <w:numId w:val="2"/>
        </w:num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如使用该物业办理任何行政注册、备案，包括但不限于工商登记，须事先向甲方提出书面申请，并提交拟登记企业的基本信息（包括但不限于企业名称、注册资本、经营范围、法定代表人等）供甲方审核。未经甲方同意，乙方不得以该租赁物业地址办理任何形式的行政注册、备案。乙方须在租赁期满或租赁合同提前终止之日起【15】天内，办理该物业的注销或变更手续，并向甲方提供政府主管部门的注销或变更文件。乙方未按本条约定办理注册、注销和变更文件的影响甲方对外出租的，甲方有权按照合同终止时的月租金标准的1.5倍要求乙方承担赔偿责任。</w:t>
      </w:r>
    </w:p>
    <w:p w14:paraId="753AAC13">
      <w:pPr>
        <w:numPr>
          <w:ilvl w:val="0"/>
          <w:numId w:val="2"/>
        </w:num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租赁期满或合同提前终止后，乙方应负责恢复该租赁物的原状或按照甲方要求拆除其在租赁物业上的任何附加物或改造物（包括但不限于乙方的结构性装修、装饰性装潢及固定设备、装置等），由此而产生的一切费用均由乙方承担。如乙方逾期未按本合同约定恢复该物业原状或按照甲方要求拆除的，则甲方有权自行或委托他人将该租赁物业进行恢复，因此发生的一切费用由乙方承担，且甲方有权从租赁保证金中抵扣，租赁保证金不足抵扣的，甲方有权向乙方追偿。</w:t>
      </w:r>
    </w:p>
    <w:p w14:paraId="0E1DB0BA">
      <w:pPr>
        <w:numPr>
          <w:ilvl w:val="0"/>
          <w:numId w:val="2"/>
        </w:num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如乙方要求以租赁期满或合同解除时的房屋现状交还该物业，应提前征得甲方书面同意，乙方应在本合同终止或解除之日起3日内将租赁物业交还甲方，属乙方所有的可移动的设施、设备及乙方所有的物品，乙方可将之迁移；该物业内一切固定在房屋结构或墙体内形成附合的装修装饰物、设备、固着物无偿归甲方所有。</w:t>
      </w:r>
    </w:p>
    <w:p w14:paraId="532A4B1A">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乙方应将该物业清扫干净、搬迁完毕，专用设施（包括但不限于该物业的门、窗、墙体等）以可靠运行状态随该物业归还甲方，甲方对此有检查监督权，并将该物业交还给甲方。乙方所做装修或改造形成的附着物（包括但不限于地板、天花、照明和墙壁等）应当按照甲方的要求予以保留。乙方需确认甲方无需就此附着物的保留向乙方支付费用。乙方在交还该物业时，违反双方约定，甲方有权向乙方追讨因清除、处理动产或不动产所产生的所有费用，相关费用从租赁保证金中扣除。当租赁保证金不足扣除时，甲方有权继续要求乙方支付。</w:t>
      </w:r>
    </w:p>
    <w:p w14:paraId="5F373AFF">
      <w:pPr>
        <w:spacing w:before="156" w:beforeLines="50" w:line="440" w:lineRule="exac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第九条 安全生产</w:t>
      </w:r>
    </w:p>
    <w:p w14:paraId="287412A0">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1、乙方应</w:t>
      </w:r>
      <w:r>
        <w:rPr>
          <w:rFonts w:hint="default" w:ascii="仿宋_GB2312" w:hAnsi="仿宋_GB2312" w:eastAsia="仿宋_GB2312" w:cs="仿宋_GB2312"/>
          <w:color w:val="auto"/>
          <w:highlight w:val="none"/>
        </w:rPr>
        <w:t>遵守国家及地方有关安全生产的法律法规及本物业</w:t>
      </w:r>
      <w:r>
        <w:rPr>
          <w:rFonts w:hint="eastAsia" w:ascii="仿宋_GB2312" w:hAnsi="仿宋_GB2312" w:eastAsia="仿宋_GB2312" w:cs="仿宋_GB2312"/>
          <w:color w:val="auto"/>
          <w:highlight w:val="none"/>
          <w:lang w:eastAsia="zh-CN"/>
        </w:rPr>
        <w:t>相关的</w:t>
      </w:r>
      <w:r>
        <w:rPr>
          <w:rFonts w:hint="default" w:ascii="仿宋_GB2312" w:hAnsi="仿宋_GB2312" w:eastAsia="仿宋_GB2312" w:cs="仿宋_GB2312"/>
          <w:color w:val="auto"/>
          <w:highlight w:val="none"/>
        </w:rPr>
        <w:t>安全管理规定，建立健全内部安全生产责任制，制定并落实本单位的安全操作规程。乙方应指定专职或兼职安全管理人员，定期对员工进行安全教育及培训，防止安全事故发生。</w:t>
      </w:r>
    </w:p>
    <w:p w14:paraId="7A8A4767">
      <w:pPr>
        <w:spacing w:line="440" w:lineRule="exact"/>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default" w:ascii="仿宋_GB2312" w:hAnsi="仿宋_GB2312" w:eastAsia="仿宋_GB2312" w:cs="仿宋_GB2312"/>
          <w:color w:val="auto"/>
          <w:highlight w:val="none"/>
        </w:rPr>
        <w:t>租赁期内，因乙方或其雇员、访客的过错导致发生安全事故、人身伤害或财产损失的，由乙方承担相应的法律责任及善后处理工作。</w:t>
      </w:r>
    </w:p>
    <w:p w14:paraId="4B37B7A6">
      <w:pPr>
        <w:spacing w:line="440" w:lineRule="exact"/>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3、乙方须严格遵守《中华人民共和国消防法》及相关地方消防管理规定。未经甲方书面同意并取得合法存储资质前，不得在该物业内存放</w:t>
      </w:r>
      <w:r>
        <w:rPr>
          <w:rFonts w:hint="default" w:ascii="仿宋_GB2312" w:hAnsi="仿宋_GB2312" w:eastAsia="仿宋_GB2312" w:cs="仿宋_GB2312"/>
          <w:color w:val="auto"/>
          <w:highlight w:val="none"/>
        </w:rPr>
        <w:t>法律法规明令禁止的易燃、易爆、剧毒、放射性等危险物品。乙方不得将租赁物业同时作为生产、仓储、住宿等混合使用（即“三合一”场所），不得从事易燃易爆、有毒有害、高污染、高噪声等违法违规生产经营活动。</w:t>
      </w:r>
    </w:p>
    <w:p w14:paraId="5DB66540">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4、乙方应按消防部门有关规定全面负责该物业内的防火安全，甲方有权于合理时间内检查该物业防火安全的执行情况，乙方应对甲方的检查工作予以配合，不得以任何理由拒绝或拖延甲方的检查。</w:t>
      </w:r>
    </w:p>
    <w:p w14:paraId="1DE7FFB5">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5、该物业内原有标配的消防设施（如喷淋、烟感、消火栓等）由甲方负责维护保养，确保其完好有效。</w:t>
      </w:r>
      <w:r>
        <w:rPr>
          <w:rFonts w:hint="default" w:ascii="仿宋_GB2312" w:hAnsi="仿宋_GB2312" w:eastAsia="仿宋_GB2312" w:cs="仿宋_GB2312"/>
          <w:color w:val="auto"/>
          <w:highlight w:val="none"/>
        </w:rPr>
        <w:t> 乙方因经营需要增设的消防器材，由乙方负责配置、维护，并不得遮挡、圈占原有消防设施，或改变其使用用途。因乙方破坏或擅自改动消防设施导致的一切后果，由乙方承担。</w:t>
      </w:r>
    </w:p>
    <w:p w14:paraId="7C14C364">
      <w:pPr>
        <w:spacing w:line="440" w:lineRule="exact"/>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r>
        <w:rPr>
          <w:rFonts w:hint="default" w:ascii="仿宋_GB2312" w:hAnsi="仿宋_GB2312" w:eastAsia="仿宋_GB2312" w:cs="仿宋_GB2312"/>
          <w:color w:val="auto"/>
          <w:highlight w:val="none"/>
        </w:rPr>
        <w:t>乙方应严格按照国家及行业标准使用电气设备，不得私拉乱接电线，不得超负荷用电。如需增容或改接电路，应提前向甲方及供电部门申报，并委托有资质的单位施工。使用燃气的，应遵守燃气安全管理规定，安装可燃气体报警装置，并定期检查燃气管道及阀门。因乙方用电、用气不当引发事故的，由乙方承担全部责任。</w:t>
      </w:r>
    </w:p>
    <w:p w14:paraId="34E13346">
      <w:pPr>
        <w:spacing w:line="440" w:lineRule="exact"/>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rPr>
        <w:t>、乙方对租赁区域进行装修改造或设备安装时，应设置围挡及警示标志，做好防火、防坠、防触电等安全防护，并指定现场安全负责人。</w:t>
      </w:r>
      <w:r>
        <w:rPr>
          <w:rFonts w:hint="eastAsia" w:ascii="仿宋_GB2312" w:hAnsi="仿宋_GB2312" w:eastAsia="仿宋_GB2312" w:cs="仿宋_GB2312"/>
          <w:color w:val="auto"/>
          <w:highlight w:val="none"/>
        </w:rPr>
        <w:t>乙方如需在该物业内进行临时动火作业（含电焊、气割等明火作业），</w:t>
      </w:r>
      <w:r>
        <w:rPr>
          <w:rFonts w:hint="default" w:ascii="仿宋_GB2312" w:hAnsi="仿宋_GB2312" w:eastAsia="仿宋_GB2312" w:cs="仿宋_GB2312"/>
          <w:color w:val="auto"/>
          <w:highlight w:val="none"/>
        </w:rPr>
        <w:t>应提前向甲方书面报备，并提交动火人员资质证书及现场防火措施方案。</w:t>
      </w:r>
      <w:r>
        <w:rPr>
          <w:rFonts w:hint="eastAsia" w:ascii="仿宋_GB2312" w:hAnsi="仿宋_GB2312" w:eastAsia="仿宋_GB2312" w:cs="仿宋_GB2312"/>
          <w:color w:val="auto"/>
          <w:highlight w:val="none"/>
          <w:lang w:eastAsia="zh-CN"/>
        </w:rPr>
        <w:t>如需</w:t>
      </w:r>
      <w:r>
        <w:rPr>
          <w:rFonts w:hint="default" w:ascii="仿宋_GB2312" w:hAnsi="仿宋_GB2312" w:eastAsia="仿宋_GB2312" w:cs="仿宋_GB2312"/>
          <w:color w:val="auto"/>
          <w:highlight w:val="none"/>
        </w:rPr>
        <w:t>向消防主管部门报批</w:t>
      </w:r>
      <w:r>
        <w:rPr>
          <w:rFonts w:hint="eastAsia" w:ascii="仿宋_GB2312" w:hAnsi="仿宋_GB2312" w:eastAsia="仿宋_GB2312" w:cs="仿宋_GB2312"/>
          <w:color w:val="auto"/>
          <w:highlight w:val="none"/>
          <w:lang w:eastAsia="zh-CN"/>
        </w:rPr>
        <w:t>，由乙方按规定报批（甲方协助）</w:t>
      </w:r>
      <w:r>
        <w:rPr>
          <w:rFonts w:hint="default" w:ascii="仿宋_GB2312" w:hAnsi="仿宋_GB2312" w:eastAsia="仿宋_GB2312" w:cs="仿宋_GB2312"/>
          <w:color w:val="auto"/>
          <w:highlight w:val="none"/>
        </w:rPr>
        <w:t>，并在现场落实灭火器材及专人监护后方可施工。</w:t>
      </w:r>
    </w:p>
    <w:p w14:paraId="19B969DA">
      <w:pPr>
        <w:spacing w:line="440" w:lineRule="exact"/>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8</w:t>
      </w:r>
      <w:r>
        <w:rPr>
          <w:rFonts w:hint="default" w:ascii="仿宋_GB2312" w:hAnsi="仿宋_GB2312" w:eastAsia="仿宋_GB2312" w:cs="仿宋_GB2312"/>
          <w:color w:val="auto"/>
          <w:highlight w:val="none"/>
        </w:rPr>
        <w:t>、乙方应保持租赁区域内及公共区域的安全出口、疏散通道畅通，不得堆放物品、上锁或封堵</w:t>
      </w:r>
      <w:r>
        <w:rPr>
          <w:rFonts w:hint="eastAsia" w:ascii="仿宋_GB2312" w:hAnsi="仿宋_GB2312" w:eastAsia="仿宋_GB2312" w:cs="仿宋_GB2312"/>
          <w:color w:val="auto"/>
          <w:highlight w:val="none"/>
          <w:lang w:eastAsia="zh-CN"/>
        </w:rPr>
        <w:t>，</w:t>
      </w:r>
      <w:r>
        <w:rPr>
          <w:rFonts w:hint="default" w:ascii="仿宋_GB2312" w:hAnsi="仿宋_GB2312" w:eastAsia="仿宋_GB2312" w:cs="仿宋_GB2312"/>
          <w:color w:val="auto"/>
          <w:highlight w:val="none"/>
        </w:rPr>
        <w:t>疏散指示标志和应急照明应完好有效。</w:t>
      </w:r>
    </w:p>
    <w:p w14:paraId="60364A73">
      <w:pPr>
        <w:spacing w:line="440" w:lineRule="exact"/>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9</w:t>
      </w:r>
      <w:r>
        <w:rPr>
          <w:rFonts w:hint="default" w:ascii="仿宋_GB2312" w:hAnsi="仿宋_GB2312" w:eastAsia="仿宋_GB2312" w:cs="仿宋_GB2312"/>
          <w:color w:val="auto"/>
          <w:highlight w:val="none"/>
        </w:rPr>
        <w:t>、乙方应</w:t>
      </w:r>
      <w:r>
        <w:rPr>
          <w:rFonts w:hint="eastAsia" w:ascii="仿宋_GB2312" w:hAnsi="仿宋_GB2312" w:eastAsia="仿宋_GB2312" w:cs="仿宋_GB2312"/>
          <w:color w:val="auto"/>
          <w:highlight w:val="none"/>
          <w:lang w:eastAsia="zh-CN"/>
        </w:rPr>
        <w:t>落实日常</w:t>
      </w:r>
      <w:r>
        <w:rPr>
          <w:rFonts w:hint="default" w:ascii="仿宋_GB2312" w:hAnsi="仿宋_GB2312" w:eastAsia="仿宋_GB2312" w:cs="仿宋_GB2312"/>
          <w:color w:val="auto"/>
          <w:highlight w:val="none"/>
        </w:rPr>
        <w:t>安全巡</w:t>
      </w:r>
      <w:r>
        <w:rPr>
          <w:rFonts w:hint="eastAsia" w:ascii="仿宋_GB2312" w:hAnsi="仿宋_GB2312" w:eastAsia="仿宋_GB2312" w:cs="仿宋_GB2312"/>
          <w:color w:val="auto"/>
          <w:highlight w:val="none"/>
          <w:lang w:eastAsia="zh-CN"/>
        </w:rPr>
        <w:t>检工作</w:t>
      </w:r>
      <w:r>
        <w:rPr>
          <w:rFonts w:hint="default" w:ascii="仿宋_GB2312" w:hAnsi="仿宋_GB2312" w:eastAsia="仿宋_GB2312" w:cs="仿宋_GB2312"/>
          <w:color w:val="auto"/>
          <w:highlight w:val="none"/>
        </w:rPr>
        <w:t>，对用电、用火、用气、消防设施及疏散通道进行检查，并做好记录。乙方发现隐患应立即整改，自身无法整改的，应及时通知甲方协调处理。甲方或其委托的物业管理人员有权随时进入租赁区域进行安全检查，乙方应积极配合。对甲方提出的安全隐患整改通知，乙方应在限定期限内完成整改；逾期未改的，甲方有权采取必要措施（包括暂停水、电供应或终止合同）以消除风险，由此产生的损失由乙方承担。</w:t>
      </w:r>
    </w:p>
    <w:p w14:paraId="71C0C9C4">
      <w:pPr>
        <w:spacing w:line="440" w:lineRule="exact"/>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0</w:t>
      </w:r>
      <w:r>
        <w:rPr>
          <w:rFonts w:hint="default" w:ascii="仿宋_GB2312" w:hAnsi="仿宋_GB2312" w:eastAsia="仿宋_GB2312" w:cs="仿宋_GB2312"/>
          <w:color w:val="auto"/>
          <w:highlight w:val="none"/>
        </w:rPr>
        <w:t>、乙方应制定火灾等突发事件的应急预案，每年至少组织一次应急演练。租赁期内发生安全事故的，乙方应立即启动应急预案，积极施救，保护现场，并在事故发生后</w:t>
      </w:r>
      <w:r>
        <w:rPr>
          <w:rFonts w:hint="eastAsia" w:ascii="仿宋_GB2312" w:hAnsi="仿宋_GB2312" w:eastAsia="仿宋_GB2312" w:cs="仿宋_GB2312"/>
          <w:color w:val="auto"/>
          <w:highlight w:val="none"/>
          <w:lang w:val="en-US" w:eastAsia="zh-CN"/>
        </w:rPr>
        <w:t>30分</w:t>
      </w:r>
      <w:r>
        <w:rPr>
          <w:rFonts w:hint="default" w:ascii="仿宋_GB2312" w:hAnsi="仿宋_GB2312" w:eastAsia="仿宋_GB2312" w:cs="仿宋_GB2312"/>
          <w:color w:val="auto"/>
          <w:highlight w:val="none"/>
        </w:rPr>
        <w:t> 内报告甲方，不得迟报、漏报、谎报或瞒报。因乙方处置不当或报告延迟导致后果扩大的，乙方承担全部法律责任。</w:t>
      </w:r>
    </w:p>
    <w:p w14:paraId="1B5F6257">
      <w:pPr>
        <w:spacing w:before="156" w:beforeLines="50" w:line="440" w:lineRule="exac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第十条 违约责任</w:t>
      </w:r>
    </w:p>
    <w:p w14:paraId="7D553B5E">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1、有下列情形之一的，甲方有权解除本租赁合同、收回该物业，并不予退还租赁保证金： </w:t>
      </w:r>
    </w:p>
    <w:p w14:paraId="50AE1C40">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（一）乙方擅自改变该物业结构或约定用途的；</w:t>
      </w:r>
    </w:p>
    <w:p w14:paraId="541C282B">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（二）乙方擅自将该物业转租的； </w:t>
      </w:r>
    </w:p>
    <w:p w14:paraId="469B08D6">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（三）乙方故意损坏该物业的；</w:t>
      </w:r>
    </w:p>
    <w:p w14:paraId="3422C554">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（四）乙方拖欠租金达30天及以上的；</w:t>
      </w:r>
    </w:p>
    <w:p w14:paraId="1BB03155">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（五）乙方利用该物业进行非法活动，损害公共利益或他人利益的；</w:t>
      </w:r>
    </w:p>
    <w:p w14:paraId="71990F34">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（六）对存在的安全隐患，不予整改或整改不合格的；</w:t>
      </w:r>
    </w:p>
    <w:p w14:paraId="74F0078F">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（七）法律、法规规定的其他可以收回物业的情形。</w:t>
      </w:r>
    </w:p>
    <w:p w14:paraId="3D3785FC">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2、有下列情形之一的，甲方有权变更或解除本租赁合同：</w:t>
      </w:r>
    </w:p>
    <w:p w14:paraId="14BE9962">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（一）当事人协商一致的；</w:t>
      </w:r>
    </w:p>
    <w:p w14:paraId="0388ED57">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（二）因不可抗力致使租赁合同不能继续履行的；</w:t>
      </w:r>
    </w:p>
    <w:p w14:paraId="5D2CABDF">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（三）政府征用、收回或拆除该物业、市政建设需要搬迁、土地被收储、三旧改造和企业改制等地方政府规划调整或实施公共政策的情况。</w:t>
      </w:r>
    </w:p>
    <w:p w14:paraId="7D346006">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3、乙方实施破坏承租物业、恶意违约、扰乱招租程序、拖欠租金（拒不缴交）等行为的，列入区属国有企业招租黑名单，在后续招租过程中不予考虑；构成犯罪的，依法报司法机关追究刑事责任。</w:t>
      </w:r>
    </w:p>
    <w:p w14:paraId="4E3EFBC9">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乙方应按期支付物业管理费、水电费及其他应交费用（不包括租金），导致甲方被物业管理公司或其他权利主体追偿或追究责任的，视为乙方违约，乙方应按当期应付未付金额的0.05%向甲方支付违约金，并赔偿给甲方造成的所有损失。甲方有权在乙方履约保证金中扣除，不足部分，甲方有权另行向乙方追偿。</w:t>
      </w:r>
    </w:p>
    <w:p w14:paraId="5DE1C11F">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5、乙方应按期支付租金，否则每逾期一天，须按当期应付未付金额的0.0</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向甲方计付违约金，且甲方同时有权自行或授权物业管理公司对租赁物业停止水、电等能源供应或直接采取强制措施予以纠正，若因此造成乙方损失的由乙方自行承担，停水停电期间的乙方租金等租赁费用照常计算；若乙方逾期支付租赁保证金或首期租金超过7日的，或乙方逾期支付其他费用超过30日的，均视为乙方根本违约，甲方有权单方解除合同并要求乙方按应付未付款项总额的20%支付违约金，同时有权没收租赁保证金及预收的租金作为违约金，乙方还应按合同约定补缴免租期租金。乙方支付租金及其他费用之义务为绝对义务，不附任何条件。凡依本合同约定应付之各期租金及其它费用，乙方不得以任何理由请求返还全部或部分，合同另有约定除外。</w:t>
      </w:r>
    </w:p>
    <w:p w14:paraId="5AEF5D85">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6、乙方未按本合同第八条第1点约定交还物业的，每逾期一日，乙方应按照合同终止时日租金标准的2倍向甲方支付场地占用费。</w:t>
      </w:r>
    </w:p>
    <w:p w14:paraId="7EAAD6B7">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7、原则上，乙方在租赁期内提前退租，保证金不予退回。如乙方有下列情况之一的，则根据以下情况执行：</w:t>
      </w:r>
    </w:p>
    <w:p w14:paraId="4CAFD827">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（一）若乙方成功引荐其他客户且预计租金收入不低于剩余租期租金的，可退回保证金且不追缴免租期租金;</w:t>
      </w:r>
    </w:p>
    <w:p w14:paraId="2DE0CFE2">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（二）若乙方剩余租期低于合同租期10%且未成功引荐客户的，可不追缴免租期租金，但保证金不予退回;</w:t>
      </w:r>
    </w:p>
    <w:p w14:paraId="22D7ACCE">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（三）若剩余租期超过合同租期10%且未成功引荐客户的，保证金不予退回，并</w:t>
      </w:r>
      <w:r>
        <w:rPr>
          <w:rFonts w:hint="eastAsia" w:ascii="仿宋_GB2312" w:hAnsi="仿宋_GB2312" w:eastAsia="仿宋_GB2312" w:cs="仿宋_GB2312"/>
          <w:color w:val="auto"/>
          <w:highlight w:val="none"/>
          <w:lang w:val="en-US" w:eastAsia="zh-CN"/>
        </w:rPr>
        <w:t>按比例</w:t>
      </w:r>
      <w:r>
        <w:rPr>
          <w:rFonts w:hint="eastAsia" w:ascii="仿宋_GB2312" w:hAnsi="仿宋_GB2312" w:eastAsia="仿宋_GB2312" w:cs="仿宋_GB2312"/>
          <w:color w:val="auto"/>
          <w:highlight w:val="none"/>
        </w:rPr>
        <w:t>追缴免租期租金</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追缴比例为：（全部租期-免租期）/全部租期</w:t>
      </w:r>
      <w:r>
        <w:rPr>
          <w:rFonts w:hint="eastAsia" w:ascii="仿宋_GB2312" w:hAnsi="仿宋_GB2312" w:eastAsia="仿宋_GB2312" w:cs="仿宋_GB2312"/>
          <w:color w:val="auto"/>
          <w:highlight w:val="none"/>
        </w:rPr>
        <w:t>。</w:t>
      </w:r>
    </w:p>
    <w:p w14:paraId="53D65E45">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240" w:lineRule="auto"/>
        <w:ind w:left="2"/>
        <w:jc w:val="left"/>
        <w:textAlignment w:val="baseline"/>
        <w:outlineLvl w:val="4"/>
        <w:rPr>
          <w:rFonts w:hint="eastAsia" w:ascii="仿宋_GB2312" w:hAnsi="仿宋_GB2312" w:eastAsia="仿宋_GB2312" w:cs="仿宋_GB2312"/>
          <w:b/>
          <w:bCs/>
          <w:color w:val="auto"/>
          <w:spacing w:val="9"/>
          <w:sz w:val="24"/>
          <w:szCs w:val="24"/>
          <w:highlight w:val="none"/>
        </w:rPr>
      </w:pPr>
      <w:r>
        <w:rPr>
          <w:rFonts w:hint="eastAsia" w:ascii="仿宋_GB2312" w:hAnsi="仿宋_GB2312" w:eastAsia="仿宋_GB2312" w:cs="仿宋_GB2312"/>
          <w:b/>
          <w:bCs/>
          <w:color w:val="auto"/>
          <w:spacing w:val="9"/>
          <w:sz w:val="24"/>
          <w:szCs w:val="24"/>
          <w:highlight w:val="none"/>
        </w:rPr>
        <w:t>第十</w:t>
      </w:r>
      <w:r>
        <w:rPr>
          <w:rFonts w:hint="eastAsia" w:ascii="仿宋_GB2312" w:hAnsi="仿宋_GB2312" w:eastAsia="仿宋_GB2312" w:cs="仿宋_GB2312"/>
          <w:b/>
          <w:bCs/>
          <w:color w:val="auto"/>
          <w:spacing w:val="9"/>
          <w:sz w:val="24"/>
          <w:szCs w:val="24"/>
          <w:highlight w:val="none"/>
          <w:lang w:val="en-US" w:eastAsia="zh-CN"/>
        </w:rPr>
        <w:t>一</w:t>
      </w:r>
      <w:r>
        <w:rPr>
          <w:rFonts w:hint="eastAsia" w:ascii="仿宋_GB2312" w:hAnsi="仿宋_GB2312" w:eastAsia="仿宋_GB2312" w:cs="仿宋_GB2312"/>
          <w:b/>
          <w:bCs/>
          <w:color w:val="auto"/>
          <w:spacing w:val="9"/>
          <w:sz w:val="24"/>
          <w:szCs w:val="24"/>
          <w:highlight w:val="none"/>
        </w:rPr>
        <w:t>条</w:t>
      </w:r>
      <w:r>
        <w:rPr>
          <w:rFonts w:hint="eastAsia" w:ascii="仿宋_GB2312" w:hAnsi="仿宋_GB2312" w:eastAsia="仿宋_GB2312" w:cs="仿宋_GB2312"/>
          <w:b/>
          <w:bCs/>
          <w:color w:val="auto"/>
          <w:spacing w:val="9"/>
          <w:sz w:val="24"/>
          <w:szCs w:val="24"/>
          <w:highlight w:val="none"/>
          <w:lang w:val="en-US" w:eastAsia="zh-CN"/>
        </w:rPr>
        <w:t xml:space="preserve"> </w:t>
      </w:r>
      <w:r>
        <w:rPr>
          <w:rFonts w:hint="eastAsia" w:ascii="仿宋_GB2312" w:hAnsi="仿宋_GB2312" w:eastAsia="仿宋_GB2312" w:cs="仿宋_GB2312"/>
          <w:b/>
          <w:bCs/>
          <w:color w:val="auto"/>
          <w:spacing w:val="9"/>
          <w:sz w:val="24"/>
          <w:szCs w:val="24"/>
          <w:highlight w:val="none"/>
        </w:rPr>
        <w:t>廉洁自律条款</w:t>
      </w:r>
    </w:p>
    <w:p w14:paraId="1EC1B1AE">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440" w:lineRule="exact"/>
        <w:ind w:left="0"/>
        <w:jc w:val="left"/>
        <w:textAlignment w:val="baseline"/>
        <w:outlineLvl w:val="4"/>
        <w:rPr>
          <w:rFonts w:hint="eastAsia" w:ascii="仿宋_GB2312" w:hAnsi="仿宋_GB2312" w:eastAsia="仿宋_GB2312" w:cs="仿宋_GB2312"/>
          <w:b w:val="0"/>
          <w:bCs w:val="0"/>
          <w:color w:val="auto"/>
          <w:spacing w:val="9"/>
          <w:sz w:val="24"/>
          <w:szCs w:val="24"/>
          <w:highlight w:val="none"/>
        </w:rPr>
      </w:pPr>
      <w:r>
        <w:rPr>
          <w:rFonts w:hint="eastAsia" w:ascii="仿宋_GB2312" w:hAnsi="仿宋_GB2312" w:eastAsia="仿宋_GB2312" w:cs="仿宋_GB2312"/>
          <w:b w:val="0"/>
          <w:bCs w:val="0"/>
          <w:color w:val="auto"/>
          <w:spacing w:val="9"/>
          <w:sz w:val="24"/>
          <w:szCs w:val="24"/>
          <w:highlight w:val="none"/>
          <w:lang w:val="en-US" w:eastAsia="zh-CN"/>
        </w:rPr>
        <w:t xml:space="preserve">12.1 </w:t>
      </w:r>
      <w:r>
        <w:rPr>
          <w:rFonts w:hint="eastAsia" w:ascii="仿宋_GB2312" w:hAnsi="仿宋_GB2312" w:eastAsia="仿宋_GB2312" w:cs="仿宋_GB2312"/>
          <w:b w:val="0"/>
          <w:bCs w:val="0"/>
          <w:color w:val="auto"/>
          <w:spacing w:val="9"/>
          <w:sz w:val="24"/>
          <w:szCs w:val="24"/>
          <w:highlight w:val="none"/>
        </w:rPr>
        <w:t>甲乙双方及工作人员均须遵守廉洁规定，严禁商业贿赂、利益输送、不正当交易。</w:t>
      </w:r>
    </w:p>
    <w:p w14:paraId="41D329B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440" w:lineRule="exact"/>
        <w:ind w:left="0"/>
        <w:jc w:val="left"/>
        <w:textAlignment w:val="baseline"/>
        <w:outlineLvl w:val="4"/>
        <w:rPr>
          <w:rFonts w:hint="eastAsia" w:ascii="仿宋_GB2312" w:hAnsi="仿宋_GB2312" w:eastAsia="仿宋_GB2312" w:cs="仿宋_GB2312"/>
          <w:b w:val="0"/>
          <w:bCs w:val="0"/>
          <w:color w:val="auto"/>
          <w:spacing w:val="9"/>
          <w:sz w:val="24"/>
          <w:szCs w:val="24"/>
          <w:highlight w:val="none"/>
        </w:rPr>
      </w:pPr>
      <w:r>
        <w:rPr>
          <w:rFonts w:hint="eastAsia" w:ascii="仿宋_GB2312" w:hAnsi="仿宋_GB2312" w:eastAsia="仿宋_GB2312" w:cs="仿宋_GB2312"/>
          <w:b w:val="0"/>
          <w:bCs w:val="0"/>
          <w:color w:val="auto"/>
          <w:spacing w:val="9"/>
          <w:sz w:val="24"/>
          <w:szCs w:val="24"/>
          <w:highlight w:val="none"/>
          <w:lang w:val="en-US" w:eastAsia="zh-CN"/>
        </w:rPr>
        <w:t xml:space="preserve">12.2 </w:t>
      </w:r>
      <w:r>
        <w:rPr>
          <w:rFonts w:hint="eastAsia" w:ascii="仿宋_GB2312" w:hAnsi="仿宋_GB2312" w:eastAsia="仿宋_GB2312" w:cs="仿宋_GB2312"/>
          <w:b w:val="0"/>
          <w:bCs w:val="0"/>
          <w:color w:val="auto"/>
          <w:spacing w:val="9"/>
          <w:sz w:val="24"/>
          <w:szCs w:val="24"/>
          <w:highlight w:val="none"/>
        </w:rPr>
        <w:t>乙方不得向甲方人员及亲属、利害关系人赠送礼金、礼品、购物卡、有价证券、宴请、旅游、娱乐安排等；不得报销应由个人支付的费用；不得提供回扣、佣金、好处费。</w:t>
      </w:r>
    </w:p>
    <w:p w14:paraId="54238797">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440" w:lineRule="exact"/>
        <w:ind w:left="0"/>
        <w:jc w:val="left"/>
        <w:textAlignment w:val="baseline"/>
        <w:outlineLvl w:val="4"/>
        <w:rPr>
          <w:rFonts w:hint="eastAsia" w:ascii="仿宋_GB2312" w:hAnsi="仿宋_GB2312" w:eastAsia="仿宋_GB2312" w:cs="仿宋_GB2312"/>
          <w:b w:val="0"/>
          <w:bCs w:val="0"/>
          <w:color w:val="auto"/>
          <w:spacing w:val="9"/>
          <w:sz w:val="24"/>
          <w:szCs w:val="24"/>
          <w:highlight w:val="none"/>
        </w:rPr>
      </w:pPr>
      <w:r>
        <w:rPr>
          <w:rFonts w:hint="eastAsia" w:ascii="仿宋_GB2312" w:hAnsi="仿宋_GB2312" w:eastAsia="仿宋_GB2312" w:cs="仿宋_GB2312"/>
          <w:b w:val="0"/>
          <w:bCs w:val="0"/>
          <w:color w:val="auto"/>
          <w:spacing w:val="9"/>
          <w:sz w:val="24"/>
          <w:szCs w:val="24"/>
          <w:highlight w:val="none"/>
          <w:lang w:val="en-US" w:eastAsia="zh-CN"/>
        </w:rPr>
        <w:t xml:space="preserve">12.3 </w:t>
      </w:r>
      <w:r>
        <w:rPr>
          <w:rFonts w:hint="eastAsia" w:ascii="仿宋_GB2312" w:hAnsi="仿宋_GB2312" w:eastAsia="仿宋_GB2312" w:cs="仿宋_GB2312"/>
          <w:b w:val="0"/>
          <w:bCs w:val="0"/>
          <w:color w:val="auto"/>
          <w:spacing w:val="9"/>
          <w:sz w:val="24"/>
          <w:szCs w:val="24"/>
          <w:highlight w:val="none"/>
        </w:rPr>
        <w:t>乙方不得与甲方人员串通虚增服务、虚报工作量、套取资金。</w:t>
      </w:r>
    </w:p>
    <w:p w14:paraId="57C44506">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440" w:lineRule="exact"/>
        <w:ind w:left="0"/>
        <w:jc w:val="left"/>
        <w:textAlignment w:val="baseline"/>
        <w:outlineLvl w:val="4"/>
        <w:rPr>
          <w:rFonts w:hint="eastAsia" w:ascii="仿宋_GB2312" w:hAnsi="仿宋_GB2312" w:eastAsia="仿宋_GB2312" w:cs="仿宋_GB2312"/>
          <w:b w:val="0"/>
          <w:bCs w:val="0"/>
          <w:color w:val="auto"/>
          <w:spacing w:val="9"/>
          <w:sz w:val="24"/>
          <w:szCs w:val="24"/>
          <w:highlight w:val="none"/>
          <w:lang w:eastAsia="zh-CN"/>
        </w:rPr>
      </w:pPr>
      <w:r>
        <w:rPr>
          <w:rFonts w:hint="eastAsia" w:ascii="仿宋_GB2312" w:hAnsi="仿宋_GB2312" w:eastAsia="仿宋_GB2312" w:cs="仿宋_GB2312"/>
          <w:b w:val="0"/>
          <w:bCs w:val="0"/>
          <w:color w:val="auto"/>
          <w:spacing w:val="9"/>
          <w:sz w:val="24"/>
          <w:szCs w:val="24"/>
          <w:highlight w:val="none"/>
          <w:lang w:val="en-US" w:eastAsia="zh-CN"/>
        </w:rPr>
        <w:t xml:space="preserve">12.4 </w:t>
      </w:r>
      <w:r>
        <w:rPr>
          <w:rFonts w:hint="eastAsia" w:ascii="仿宋_GB2312" w:hAnsi="仿宋_GB2312" w:eastAsia="仿宋_GB2312" w:cs="仿宋_GB2312"/>
          <w:b w:val="0"/>
          <w:bCs w:val="0"/>
          <w:color w:val="auto"/>
          <w:spacing w:val="9"/>
          <w:sz w:val="24"/>
          <w:szCs w:val="24"/>
          <w:highlight w:val="none"/>
          <w:lang w:eastAsia="zh-CN"/>
        </w:rPr>
        <w:t>乙方违反本条的，甲方立即单方解除合同，</w:t>
      </w:r>
      <w:r>
        <w:rPr>
          <w:rFonts w:hint="eastAsia" w:ascii="仿宋_GB2312" w:hAnsi="仿宋_GB2312" w:eastAsia="仿宋_GB2312" w:cs="仿宋_GB2312"/>
          <w:b w:val="0"/>
          <w:bCs w:val="0"/>
          <w:color w:val="auto"/>
          <w:spacing w:val="9"/>
          <w:sz w:val="24"/>
          <w:szCs w:val="24"/>
          <w:highlight w:val="none"/>
          <w:lang w:val="en-US" w:eastAsia="zh-CN"/>
        </w:rPr>
        <w:t>已收费用不</w:t>
      </w:r>
      <w:r>
        <w:rPr>
          <w:rFonts w:hint="eastAsia" w:ascii="仿宋_GB2312" w:hAnsi="仿宋_GB2312" w:eastAsia="仿宋_GB2312" w:cs="仿宋_GB2312"/>
          <w:color w:val="auto"/>
          <w:highlight w:val="none"/>
        </w:rPr>
        <w:t>予退回</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b w:val="0"/>
          <w:bCs w:val="0"/>
          <w:color w:val="auto"/>
          <w:spacing w:val="9"/>
          <w:sz w:val="24"/>
          <w:szCs w:val="24"/>
          <w:highlight w:val="none"/>
          <w:lang w:val="en-US" w:eastAsia="zh-CN"/>
        </w:rPr>
        <w:t>没收保证金</w:t>
      </w:r>
      <w:r>
        <w:rPr>
          <w:rFonts w:hint="eastAsia" w:ascii="仿宋_GB2312" w:hAnsi="仿宋_GB2312" w:eastAsia="仿宋_GB2312" w:cs="仿宋_GB2312"/>
          <w:b w:val="0"/>
          <w:bCs w:val="0"/>
          <w:color w:val="auto"/>
          <w:spacing w:val="9"/>
          <w:sz w:val="24"/>
          <w:szCs w:val="24"/>
          <w:highlight w:val="none"/>
          <w:lang w:eastAsia="zh-CN"/>
        </w:rPr>
        <w:t>，并按</w:t>
      </w:r>
      <w:r>
        <w:rPr>
          <w:rFonts w:hint="eastAsia" w:ascii="仿宋_GB2312" w:hAnsi="仿宋_GB2312" w:eastAsia="仿宋_GB2312" w:cs="仿宋_GB2312"/>
          <w:b w:val="0"/>
          <w:bCs w:val="0"/>
          <w:color w:val="auto"/>
          <w:spacing w:val="9"/>
          <w:sz w:val="24"/>
          <w:szCs w:val="24"/>
          <w:highlight w:val="none"/>
        </w:rPr>
        <w:t>合同服务款项总金额</w:t>
      </w:r>
      <w:r>
        <w:rPr>
          <w:rFonts w:hint="eastAsia" w:ascii="仿宋_GB2312" w:hAnsi="仿宋_GB2312" w:eastAsia="仿宋_GB2312" w:cs="仿宋_GB2312"/>
          <w:b w:val="0"/>
          <w:bCs w:val="0"/>
          <w:color w:val="auto"/>
          <w:spacing w:val="9"/>
          <w:sz w:val="24"/>
          <w:szCs w:val="24"/>
          <w:highlight w:val="none"/>
          <w:lang w:eastAsia="zh-CN"/>
        </w:rPr>
        <w:t>20%支付违约金；同时永久取消乙方参与甲方所有项目资格，涉嫌违法犯罪的移交司法机关。</w:t>
      </w:r>
    </w:p>
    <w:p w14:paraId="53750A6B">
      <w:pPr>
        <w:pStyle w:val="4"/>
        <w:keepNext w:val="0"/>
        <w:keepLines w:val="0"/>
        <w:pageBreakBefore w:val="0"/>
        <w:widowControl/>
        <w:kinsoku w:val="0"/>
        <w:wordWrap/>
        <w:overflowPunct/>
        <w:topLinePunct w:val="0"/>
        <w:autoSpaceDE w:val="0"/>
        <w:autoSpaceDN w:val="0"/>
        <w:bidi w:val="0"/>
        <w:adjustRightInd w:val="0"/>
        <w:snapToGrid w:val="0"/>
        <w:spacing w:before="120" w:after="0" w:afterLines="50" w:line="440" w:lineRule="exact"/>
        <w:ind w:left="0"/>
        <w:jc w:val="left"/>
        <w:textAlignment w:val="baseline"/>
        <w:outlineLvl w:val="4"/>
        <w:rPr>
          <w:rFonts w:hint="eastAsia"/>
          <w:color w:val="auto"/>
          <w:highlight w:val="none"/>
        </w:rPr>
      </w:pPr>
      <w:r>
        <w:rPr>
          <w:rFonts w:hint="eastAsia" w:ascii="仿宋_GB2312" w:hAnsi="仿宋_GB2312" w:eastAsia="仿宋_GB2312" w:cs="仿宋_GB2312"/>
          <w:b w:val="0"/>
          <w:bCs w:val="0"/>
          <w:color w:val="auto"/>
          <w:spacing w:val="9"/>
          <w:sz w:val="24"/>
          <w:szCs w:val="24"/>
          <w:highlight w:val="none"/>
          <w:lang w:val="en-US" w:eastAsia="zh-CN"/>
        </w:rPr>
        <w:t xml:space="preserve">12.5 </w:t>
      </w:r>
      <w:r>
        <w:rPr>
          <w:rFonts w:hint="eastAsia" w:ascii="仿宋_GB2312" w:hAnsi="仿宋_GB2312" w:eastAsia="仿宋_GB2312" w:cs="仿宋_GB2312"/>
          <w:b w:val="0"/>
          <w:bCs w:val="0"/>
          <w:color w:val="auto"/>
          <w:spacing w:val="9"/>
          <w:sz w:val="24"/>
          <w:szCs w:val="24"/>
          <w:highlight w:val="none"/>
          <w:lang w:eastAsia="zh-CN"/>
        </w:rPr>
        <w:t>本条款独立有效，不因合同无效、终止、解除而失效。</w:t>
      </w:r>
    </w:p>
    <w:p w14:paraId="7CF130BA">
      <w:pPr>
        <w:spacing w:before="156" w:beforeLines="50" w:line="440" w:lineRule="exact"/>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第十</w:t>
      </w:r>
      <w:r>
        <w:rPr>
          <w:rFonts w:hint="eastAsia" w:ascii="仿宋_GB2312" w:hAnsi="仿宋_GB2312" w:eastAsia="仿宋_GB2312" w:cs="仿宋_GB2312"/>
          <w:b/>
          <w:bCs/>
          <w:color w:val="auto"/>
          <w:highlight w:val="none"/>
          <w:lang w:val="en-US" w:eastAsia="zh-CN"/>
        </w:rPr>
        <w:t>二</w:t>
      </w:r>
      <w:r>
        <w:rPr>
          <w:rFonts w:hint="eastAsia" w:ascii="仿宋_GB2312" w:hAnsi="仿宋_GB2312" w:eastAsia="仿宋_GB2312" w:cs="仿宋_GB2312"/>
          <w:b/>
          <w:bCs/>
          <w:color w:val="auto"/>
          <w:highlight w:val="none"/>
        </w:rPr>
        <w:t>条 送达地址</w:t>
      </w:r>
    </w:p>
    <w:p w14:paraId="5193852B">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1、按本合同需向一方送达的任何文件或通知，送达地址以双方确认的下列地址为准。在一方接到另一方发出的变更地址的书面通知前，该方地址仍以先前地址为准。</w:t>
      </w:r>
    </w:p>
    <w:p w14:paraId="18D32333">
      <w:pPr>
        <w:tabs>
          <w:tab w:val="left" w:pos="1260"/>
          <w:tab w:val="left" w:pos="1440"/>
          <w:tab w:val="left" w:pos="1800"/>
          <w:tab w:val="left" w:pos="5885"/>
        </w:tabs>
        <w:spacing w:line="440" w:lineRule="exact"/>
        <w:ind w:left="360" w:hanging="360" w:hangingChars="1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甲方地址：佛山市顺德区北滘镇高村村裕和东路 102 号 </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 xml:space="preserve"> 号楼</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楼</w:t>
      </w:r>
    </w:p>
    <w:p w14:paraId="09FA0302">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联系人：傅小姐</w:t>
      </w:r>
    </w:p>
    <w:p w14:paraId="1541A8BD">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联系电话：0757-29878290                     </w:t>
      </w:r>
    </w:p>
    <w:p w14:paraId="4B75BCCF">
      <w:pPr>
        <w:tabs>
          <w:tab w:val="left" w:pos="1260"/>
          <w:tab w:val="left" w:pos="1440"/>
          <w:tab w:val="left" w:pos="1800"/>
          <w:tab w:val="left" w:pos="5885"/>
        </w:tabs>
        <w:spacing w:line="440" w:lineRule="exact"/>
        <w:ind w:left="1200" w:hanging="1200" w:hangingChars="5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乙方地址：</w:t>
      </w:r>
    </w:p>
    <w:p w14:paraId="1C065F4E">
      <w:pPr>
        <w:tabs>
          <w:tab w:val="left" w:pos="1260"/>
          <w:tab w:val="left" w:pos="1440"/>
          <w:tab w:val="left" w:pos="1800"/>
          <w:tab w:val="left" w:pos="5885"/>
        </w:tabs>
        <w:spacing w:line="440" w:lineRule="exact"/>
        <w:ind w:left="1200" w:hanging="1200" w:hangingChars="5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联系人：</w:t>
      </w:r>
    </w:p>
    <w:p w14:paraId="0433C79F">
      <w:pPr>
        <w:spacing w:line="44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联系电话：</w:t>
      </w:r>
    </w:p>
    <w:p w14:paraId="33014E6E">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2、以挂号邮件的方式送达的文件或通知，自挂号邮件寄出10个工作日后，无论收件人本人或相关人签收与否，均视为有效送达。</w:t>
      </w:r>
    </w:p>
    <w:p w14:paraId="1D5A4F29">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3、以快递的方式送达该的文件或通知，自快递投递之日起3个工作日后，无论收件人本人或相关人签收与否，均视为有效送达。     </w:t>
      </w:r>
    </w:p>
    <w:p w14:paraId="3EF1C6FB">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为保障合同当事人的合法权益，促进合同当事人严格守约、履行诚信义务，提高纠纷产生后送达相关法律文书的工作效率，降低诉讼成本，承租方、担保人等合同相对人（下统称合同相对方）应当如实填写确认的送达地址。一旦确认的送达地址发生变更后，合同相对方应及时向合同甲方发出书面通知，重新确认新的送达地址，否则视为送达地址未变更。</w:t>
      </w:r>
    </w:p>
    <w:p w14:paraId="0D574C93">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5、该送达地址适用于因履行各类合同（包括租赁合同等合同）发生争议而进入诉讼程序（包括一审、二审、再审和执行程序）或仲裁程序后，</w:t>
      </w:r>
      <w:bookmarkStart w:id="1" w:name="OLE_LINK1"/>
      <w:r>
        <w:rPr>
          <w:rFonts w:hint="eastAsia" w:ascii="仿宋_GB2312" w:hAnsi="仿宋_GB2312" w:eastAsia="仿宋_GB2312" w:cs="仿宋_GB2312"/>
          <w:color w:val="auto"/>
          <w:highlight w:val="none"/>
        </w:rPr>
        <w:t>人民法院或仲裁机构向合同相对方送达各类法律文书</w:t>
      </w:r>
      <w:bookmarkEnd w:id="1"/>
      <w:r>
        <w:rPr>
          <w:rFonts w:hint="eastAsia" w:ascii="仿宋_GB2312" w:hAnsi="仿宋_GB2312" w:eastAsia="仿宋_GB2312" w:cs="仿宋_GB2312"/>
          <w:color w:val="auto"/>
          <w:highlight w:val="none"/>
        </w:rPr>
        <w:t>。在合同履行期间，合同甲方向合同相对方送达催收债务函、宣布合同提前解除等文书同样适用该地址。</w:t>
      </w:r>
    </w:p>
    <w:p w14:paraId="77A02C2F">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6、因合同相对方确认的送达地址不准确、送达地址变更后但未及时依程序告知合同甲方另行确认送达地址、合同相对方本人或指定的收件人拒绝签收等情形，导致法律文书未能合同相对方实际接收的，合同相对方应自行承担有效送达的法律后果。邮寄送达的，以文书退回之日视为送达之日；直接送达的，送达人当场在送达回证上记明情况之日为送达之日。 </w:t>
      </w:r>
    </w:p>
    <w:p w14:paraId="2FD55A67">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7、进入民事诉讼程序后，如合同相对方应诉并直接向法院提交送达地址确认书，该确认地址与诉前确认的送达地址不一致的，以向法院提交确认的送达地址为准。                                                                   </w:t>
      </w:r>
    </w:p>
    <w:p w14:paraId="26F6D48D">
      <w:pPr>
        <w:spacing w:before="156" w:beforeLines="50" w:line="440" w:lineRule="exact"/>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第十</w:t>
      </w:r>
      <w:r>
        <w:rPr>
          <w:rFonts w:hint="eastAsia" w:ascii="仿宋_GB2312" w:hAnsi="仿宋_GB2312" w:eastAsia="仿宋_GB2312" w:cs="仿宋_GB2312"/>
          <w:b/>
          <w:bCs/>
          <w:color w:val="auto"/>
          <w:highlight w:val="none"/>
          <w:lang w:val="en-US" w:eastAsia="zh-CN"/>
        </w:rPr>
        <w:t>三</w:t>
      </w:r>
      <w:r>
        <w:rPr>
          <w:rFonts w:hint="eastAsia" w:ascii="仿宋_GB2312" w:hAnsi="仿宋_GB2312" w:eastAsia="仿宋_GB2312" w:cs="仿宋_GB2312"/>
          <w:b/>
          <w:bCs/>
          <w:color w:val="auto"/>
          <w:highlight w:val="none"/>
        </w:rPr>
        <w:t>条 其他约定</w:t>
      </w:r>
    </w:p>
    <w:p w14:paraId="5C7C7BD6">
      <w:pPr>
        <w:spacing w:line="44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w:t>
      </w:r>
      <w:r>
        <w:rPr>
          <w:rFonts w:hint="eastAsia" w:ascii="仿宋_GB2312" w:hAnsi="仿宋_GB2312" w:eastAsia="仿宋_GB2312" w:cs="仿宋_GB2312"/>
          <w:color w:val="auto"/>
          <w:highlight w:val="none"/>
        </w:rPr>
        <w:t>甲乙双方对本合同有关条款的解释或履行发生争议时，应通过友好协商的方式予以解决，协商不成，任何一方均有权向甲方所在地有管辖权的人民法院提起诉讼。</w:t>
      </w:r>
    </w:p>
    <w:p w14:paraId="6C229382">
      <w:pPr>
        <w:spacing w:line="440" w:lineRule="exac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、本合同自甲乙双方签名并盖章之日起生效，合同一式肆份,双方各执贰份，具有同等法律效力。</w:t>
      </w:r>
    </w:p>
    <w:p w14:paraId="3B5C6635">
      <w:pPr>
        <w:spacing w:line="440" w:lineRule="exac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、本合同未尽事宜，由甲乙双方另行商定并签订补充协议，补充协议与本合同具有同等法律效力。</w:t>
      </w:r>
    </w:p>
    <w:p w14:paraId="4A5DC719">
      <w:pPr>
        <w:spacing w:line="44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（以下无正文）</w:t>
      </w:r>
    </w:p>
    <w:p w14:paraId="039A1039">
      <w:pPr>
        <w:spacing w:line="44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附件1：场地交付确认书</w:t>
      </w:r>
    </w:p>
    <w:p w14:paraId="58DD10FD">
      <w:pPr>
        <w:spacing w:line="44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附件2：平面图</w:t>
      </w:r>
    </w:p>
    <w:p w14:paraId="5A2D65D4">
      <w:pPr>
        <w:rPr>
          <w:rFonts w:hint="eastAsia" w:ascii="仿宋_GB2312" w:hAnsi="仿宋_GB2312" w:eastAsia="仿宋_GB2312" w:cs="仿宋_GB2312"/>
          <w:color w:val="auto"/>
          <w:highlight w:val="none"/>
        </w:rPr>
      </w:pPr>
    </w:p>
    <w:p w14:paraId="399C4EE3">
      <w:pPr>
        <w:rPr>
          <w:rFonts w:ascii="仿宋_GB2312" w:hAnsi="仿宋_GB2312" w:eastAsia="仿宋_GB2312" w:cs="仿宋_GB2312"/>
          <w:color w:val="auto"/>
          <w:highlight w:val="none"/>
        </w:rPr>
      </w:pPr>
      <w:r>
        <w:rPr>
          <w:rFonts w:ascii="仿宋_GB2312" w:hAnsi="仿宋_GB2312" w:eastAsia="仿宋_GB2312" w:cs="仿宋_GB2312"/>
          <w:color w:val="auto"/>
          <w:highlight w:val="none"/>
        </w:rPr>
        <w:br w:type="page"/>
      </w:r>
    </w:p>
    <w:p w14:paraId="5600431C">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（本页无正文，为《</w:t>
      </w:r>
      <w:r>
        <w:rPr>
          <w:rFonts w:hint="eastAsia" w:ascii="仿宋_GB2312" w:hAnsi="仿宋_GB2312" w:eastAsia="仿宋_GB2312" w:cs="仿宋_GB2312"/>
          <w:color w:val="auto"/>
          <w:highlight w:val="none"/>
          <w:lang w:val="en-US" w:eastAsia="zh-CN"/>
        </w:rPr>
        <w:t>文化中心</w:t>
      </w:r>
      <w:r>
        <w:rPr>
          <w:rFonts w:hint="eastAsia" w:ascii="仿宋_GB2312" w:hAnsi="仿宋_GB2312" w:eastAsia="仿宋_GB2312" w:cs="仿宋_GB2312"/>
          <w:color w:val="auto"/>
          <w:highlight w:val="none"/>
        </w:rPr>
        <w:t>项目房屋租赁合同》签署页）</w:t>
      </w:r>
    </w:p>
    <w:p w14:paraId="0E777507">
      <w:pPr>
        <w:rPr>
          <w:rFonts w:hint="eastAsia" w:ascii="仿宋_GB2312" w:hAnsi="仿宋_GB2312" w:eastAsia="仿宋_GB2312" w:cs="仿宋_GB2312"/>
          <w:color w:val="auto"/>
          <w:highlight w:val="none"/>
        </w:rPr>
      </w:pPr>
    </w:p>
    <w:p w14:paraId="1497413A">
      <w:pPr>
        <w:rPr>
          <w:rFonts w:hint="eastAsia" w:ascii="仿宋_GB2312" w:hAnsi="仿宋_GB2312" w:eastAsia="仿宋_GB2312" w:cs="仿宋_GB2312"/>
          <w:color w:val="auto"/>
          <w:highlight w:val="none"/>
        </w:rPr>
      </w:pPr>
    </w:p>
    <w:p w14:paraId="79880E17">
      <w:pPr>
        <w:rPr>
          <w:rFonts w:hint="eastAsia" w:ascii="仿宋_GB2312" w:hAnsi="仿宋_GB2312" w:eastAsia="仿宋_GB2312" w:cs="仿宋_GB2312"/>
          <w:color w:val="auto"/>
          <w:highlight w:val="none"/>
        </w:rPr>
      </w:pPr>
    </w:p>
    <w:tbl>
      <w:tblPr>
        <w:tblStyle w:val="10"/>
        <w:tblpPr w:leftFromText="180" w:rightFromText="180" w:vertAnchor="text" w:horzAnchor="page" w:tblpXSpec="center" w:tblpY="127"/>
        <w:tblOverlap w:val="never"/>
        <w:tblW w:w="9109" w:type="dxa"/>
        <w:jc w:val="center"/>
        <w:tblLayout w:type="fixed"/>
        <w:tblCellMar>
          <w:top w:w="0" w:type="dxa"/>
          <w:left w:w="108" w:type="dxa"/>
          <w:bottom w:w="0" w:type="dxa"/>
          <w:right w:w="108" w:type="dxa"/>
        </w:tblCellMar>
      </w:tblPr>
      <w:tblGrid>
        <w:gridCol w:w="4541"/>
        <w:gridCol w:w="4568"/>
      </w:tblGrid>
      <w:tr w14:paraId="045C18D8">
        <w:tblPrEx>
          <w:tblCellMar>
            <w:top w:w="0" w:type="dxa"/>
            <w:left w:w="108" w:type="dxa"/>
            <w:bottom w:w="0" w:type="dxa"/>
            <w:right w:w="108" w:type="dxa"/>
          </w:tblCellMar>
        </w:tblPrEx>
        <w:trPr>
          <w:jc w:val="center"/>
        </w:trPr>
        <w:tc>
          <w:tcPr>
            <w:tcW w:w="4541" w:type="dxa"/>
            <w:tcBorders>
              <w:right w:val="dashSmallGap" w:color="auto" w:sz="4" w:space="0"/>
            </w:tcBorders>
            <w:noWrap w:val="0"/>
            <w:vAlign w:val="top"/>
          </w:tcPr>
          <w:p w14:paraId="1C7605C7">
            <w:pPr>
              <w:spacing w:line="360" w:lineRule="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甲方（盖章）：</w:t>
            </w:r>
            <w:r>
              <w:rPr>
                <w:rFonts w:hint="eastAsia" w:ascii="仿宋_GB2312" w:hAnsi="仿宋_GB2312" w:eastAsia="仿宋_GB2312" w:cs="仿宋_GB2312"/>
                <w:color w:val="auto"/>
                <w:highlight w:val="none"/>
                <w:lang w:eastAsia="zh-CN"/>
              </w:rPr>
              <w:t>佛山市顺博城市运营服务有限公司</w:t>
            </w:r>
          </w:p>
        </w:tc>
        <w:tc>
          <w:tcPr>
            <w:tcW w:w="4568" w:type="dxa"/>
            <w:tcBorders>
              <w:left w:val="dashSmallGap" w:color="auto" w:sz="4" w:space="0"/>
            </w:tcBorders>
            <w:noWrap w:val="0"/>
            <w:vAlign w:val="top"/>
          </w:tcPr>
          <w:p w14:paraId="3B94C472">
            <w:pPr>
              <w:spacing w:line="360" w:lineRule="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乙方（盖章）：</w:t>
            </w:r>
          </w:p>
        </w:tc>
      </w:tr>
      <w:tr w14:paraId="65BFE0AB">
        <w:tblPrEx>
          <w:tblCellMar>
            <w:top w:w="0" w:type="dxa"/>
            <w:left w:w="108" w:type="dxa"/>
            <w:bottom w:w="0" w:type="dxa"/>
            <w:right w:w="108" w:type="dxa"/>
          </w:tblCellMar>
        </w:tblPrEx>
        <w:trPr>
          <w:jc w:val="center"/>
        </w:trPr>
        <w:tc>
          <w:tcPr>
            <w:tcW w:w="4541" w:type="dxa"/>
            <w:tcBorders>
              <w:right w:val="dashSmallGap" w:color="auto" w:sz="4" w:space="0"/>
            </w:tcBorders>
            <w:noWrap w:val="0"/>
            <w:vAlign w:val="top"/>
          </w:tcPr>
          <w:p w14:paraId="18F4D55B">
            <w:pPr>
              <w:spacing w:line="360" w:lineRule="auto"/>
              <w:rPr>
                <w:rFonts w:hint="eastAsia" w:ascii="仿宋_GB2312" w:hAnsi="仿宋_GB2312" w:eastAsia="仿宋_GB2312" w:cs="仿宋_GB2312"/>
                <w:color w:val="auto"/>
                <w:highlight w:val="none"/>
              </w:rPr>
            </w:pPr>
          </w:p>
          <w:p w14:paraId="3398FDBB">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法定代表人/授权代表：</w:t>
            </w:r>
          </w:p>
        </w:tc>
        <w:tc>
          <w:tcPr>
            <w:tcW w:w="4568" w:type="dxa"/>
            <w:tcBorders>
              <w:left w:val="dashSmallGap" w:color="auto" w:sz="4" w:space="0"/>
            </w:tcBorders>
            <w:noWrap w:val="0"/>
            <w:vAlign w:val="top"/>
          </w:tcPr>
          <w:p w14:paraId="5BBB5A6A">
            <w:pPr>
              <w:spacing w:line="360" w:lineRule="auto"/>
              <w:rPr>
                <w:rFonts w:hint="eastAsia" w:ascii="仿宋_GB2312" w:hAnsi="仿宋_GB2312" w:eastAsia="仿宋_GB2312" w:cs="仿宋_GB2312"/>
                <w:color w:val="auto"/>
                <w:highlight w:val="none"/>
              </w:rPr>
            </w:pPr>
          </w:p>
          <w:p w14:paraId="1A057CB1">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法定代表人/授权代表：</w:t>
            </w:r>
          </w:p>
          <w:p w14:paraId="2FCA9D70">
            <w:pPr>
              <w:spacing w:line="360" w:lineRule="auto"/>
              <w:rPr>
                <w:rFonts w:hint="eastAsia" w:ascii="仿宋_GB2312" w:hAnsi="仿宋_GB2312" w:eastAsia="仿宋_GB2312" w:cs="仿宋_GB2312"/>
                <w:color w:val="auto"/>
                <w:highlight w:val="none"/>
              </w:rPr>
            </w:pPr>
          </w:p>
          <w:p w14:paraId="478D4650">
            <w:pPr>
              <w:spacing w:line="360" w:lineRule="auto"/>
              <w:rPr>
                <w:rFonts w:hint="eastAsia" w:ascii="仿宋_GB2312" w:hAnsi="仿宋_GB2312" w:eastAsia="仿宋_GB2312" w:cs="仿宋_GB2312"/>
                <w:color w:val="auto"/>
                <w:highlight w:val="none"/>
              </w:rPr>
            </w:pPr>
          </w:p>
          <w:p w14:paraId="20CB9394">
            <w:pPr>
              <w:spacing w:line="360" w:lineRule="auto"/>
              <w:rPr>
                <w:rFonts w:hint="eastAsia" w:ascii="仿宋_GB2312" w:hAnsi="仿宋_GB2312" w:eastAsia="仿宋_GB2312" w:cs="仿宋_GB2312"/>
                <w:color w:val="auto"/>
                <w:highlight w:val="none"/>
              </w:rPr>
            </w:pPr>
          </w:p>
        </w:tc>
      </w:tr>
      <w:tr w14:paraId="4C18E1F0">
        <w:tblPrEx>
          <w:tblCellMar>
            <w:top w:w="0" w:type="dxa"/>
            <w:left w:w="108" w:type="dxa"/>
            <w:bottom w:w="0" w:type="dxa"/>
            <w:right w:w="108" w:type="dxa"/>
          </w:tblCellMar>
        </w:tblPrEx>
        <w:trPr>
          <w:jc w:val="center"/>
        </w:trPr>
        <w:tc>
          <w:tcPr>
            <w:tcW w:w="4541" w:type="dxa"/>
            <w:tcBorders>
              <w:right w:val="dashSmallGap" w:color="auto" w:sz="4" w:space="0"/>
            </w:tcBorders>
            <w:noWrap w:val="0"/>
            <w:vAlign w:val="top"/>
          </w:tcPr>
          <w:p w14:paraId="7032C5E5">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经办人：</w:t>
            </w:r>
          </w:p>
          <w:p w14:paraId="62D46760">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校对人：</w:t>
            </w:r>
          </w:p>
          <w:p w14:paraId="290CCDB9">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地址：佛山市顺德区北滘镇高村村裕和东路102号</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号楼</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楼</w:t>
            </w:r>
          </w:p>
        </w:tc>
        <w:tc>
          <w:tcPr>
            <w:tcW w:w="4568" w:type="dxa"/>
            <w:tcBorders>
              <w:left w:val="dashSmallGap" w:color="auto" w:sz="4" w:space="0"/>
            </w:tcBorders>
            <w:noWrap w:val="0"/>
            <w:vAlign w:val="top"/>
          </w:tcPr>
          <w:p w14:paraId="28F13035">
            <w:pPr>
              <w:spacing w:line="360" w:lineRule="auto"/>
              <w:rPr>
                <w:rFonts w:hint="eastAsia" w:ascii="仿宋_GB2312" w:hAnsi="仿宋_GB2312" w:eastAsia="仿宋_GB2312" w:cs="仿宋_GB2312"/>
                <w:color w:val="auto"/>
                <w:highlight w:val="none"/>
              </w:rPr>
            </w:pPr>
          </w:p>
          <w:p w14:paraId="0FF4C12A">
            <w:pPr>
              <w:spacing w:line="360" w:lineRule="auto"/>
              <w:rPr>
                <w:rFonts w:hint="eastAsia" w:ascii="仿宋_GB2312" w:hAnsi="仿宋_GB2312" w:eastAsia="仿宋_GB2312" w:cs="仿宋_GB2312"/>
                <w:color w:val="auto"/>
                <w:highlight w:val="none"/>
              </w:rPr>
            </w:pPr>
          </w:p>
          <w:p w14:paraId="6CA86C20">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地址：</w:t>
            </w:r>
          </w:p>
        </w:tc>
      </w:tr>
      <w:tr w14:paraId="454195BE">
        <w:tblPrEx>
          <w:tblCellMar>
            <w:top w:w="0" w:type="dxa"/>
            <w:left w:w="108" w:type="dxa"/>
            <w:bottom w:w="0" w:type="dxa"/>
            <w:right w:w="108" w:type="dxa"/>
          </w:tblCellMar>
        </w:tblPrEx>
        <w:trPr>
          <w:jc w:val="center"/>
        </w:trPr>
        <w:tc>
          <w:tcPr>
            <w:tcW w:w="4541" w:type="dxa"/>
            <w:tcBorders>
              <w:right w:val="dashSmallGap" w:color="auto" w:sz="4" w:space="0"/>
            </w:tcBorders>
            <w:noWrap w:val="0"/>
            <w:vAlign w:val="top"/>
          </w:tcPr>
          <w:p w14:paraId="16DCE192">
            <w:pPr>
              <w:tabs>
                <w:tab w:val="left" w:pos="1260"/>
                <w:tab w:val="left" w:pos="1440"/>
                <w:tab w:val="left" w:pos="1800"/>
                <w:tab w:val="left" w:pos="5885"/>
              </w:tabs>
              <w:spacing w:before="156" w:beforeLines="50" w:after="156" w:afterLines="50" w:line="360" w:lineRule="exact"/>
              <w:ind w:left="360" w:right="322" w:rightChars="134" w:hanging="360" w:hangingChars="1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电话：0757-29878290</w:t>
            </w:r>
          </w:p>
        </w:tc>
        <w:tc>
          <w:tcPr>
            <w:tcW w:w="4568" w:type="dxa"/>
            <w:tcBorders>
              <w:left w:val="dashSmallGap" w:color="auto" w:sz="4" w:space="0"/>
            </w:tcBorders>
            <w:noWrap w:val="0"/>
            <w:vAlign w:val="center"/>
          </w:tcPr>
          <w:p w14:paraId="51B3FBA3">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电话：</w:t>
            </w:r>
          </w:p>
        </w:tc>
      </w:tr>
      <w:tr w14:paraId="729E1C9C">
        <w:tblPrEx>
          <w:tblCellMar>
            <w:top w:w="0" w:type="dxa"/>
            <w:left w:w="108" w:type="dxa"/>
            <w:bottom w:w="0" w:type="dxa"/>
            <w:right w:w="108" w:type="dxa"/>
          </w:tblCellMar>
        </w:tblPrEx>
        <w:trPr>
          <w:jc w:val="center"/>
        </w:trPr>
        <w:tc>
          <w:tcPr>
            <w:tcW w:w="4541" w:type="dxa"/>
            <w:tcBorders>
              <w:right w:val="dashSmallGap" w:color="auto" w:sz="4" w:space="0"/>
            </w:tcBorders>
            <w:noWrap w:val="0"/>
            <w:vAlign w:val="top"/>
          </w:tcPr>
          <w:p w14:paraId="3DDA7F51">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      年     月    日</w:t>
            </w:r>
          </w:p>
        </w:tc>
        <w:tc>
          <w:tcPr>
            <w:tcW w:w="4568" w:type="dxa"/>
            <w:tcBorders>
              <w:left w:val="dashSmallGap" w:color="auto" w:sz="4" w:space="0"/>
            </w:tcBorders>
            <w:noWrap w:val="0"/>
            <w:vAlign w:val="top"/>
          </w:tcPr>
          <w:p w14:paraId="1E31766D">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     年     月    日</w:t>
            </w:r>
          </w:p>
        </w:tc>
      </w:tr>
    </w:tbl>
    <w:p w14:paraId="0ED3EF4D">
      <w:pPr>
        <w:rPr>
          <w:rFonts w:hint="eastAsia" w:ascii="仿宋_GB2312" w:hAnsi="仿宋_GB2312" w:eastAsia="仿宋_GB2312" w:cs="仿宋_GB2312"/>
          <w:color w:val="auto"/>
          <w:highlight w:val="none"/>
        </w:rPr>
      </w:pPr>
    </w:p>
    <w:p w14:paraId="46045FD9">
      <w:pPr>
        <w:pStyle w:val="3"/>
        <w:rPr>
          <w:rFonts w:hint="eastAsia" w:ascii="仿宋_GB2312" w:hAnsi="仿宋_GB2312" w:eastAsia="仿宋_GB2312" w:cs="仿宋_GB2312"/>
          <w:color w:val="auto"/>
          <w:highlight w:val="none"/>
        </w:rPr>
      </w:pPr>
    </w:p>
    <w:p w14:paraId="0B8E84C5">
      <w:pPr>
        <w:pStyle w:val="3"/>
        <w:rPr>
          <w:rFonts w:hint="eastAsia" w:ascii="仿宋_GB2312" w:hAnsi="仿宋_GB2312" w:eastAsia="仿宋_GB2312" w:cs="仿宋_GB2312"/>
          <w:color w:val="auto"/>
          <w:highlight w:val="none"/>
        </w:rPr>
      </w:pPr>
    </w:p>
    <w:p w14:paraId="5987026E">
      <w:pPr>
        <w:pStyle w:val="3"/>
        <w:rPr>
          <w:rFonts w:hint="eastAsia" w:ascii="仿宋_GB2312" w:hAnsi="仿宋_GB2312" w:eastAsia="仿宋_GB2312" w:cs="仿宋_GB2312"/>
          <w:color w:val="auto"/>
          <w:highlight w:val="none"/>
        </w:rPr>
      </w:pPr>
    </w:p>
    <w:p w14:paraId="1D4255B2">
      <w:pPr>
        <w:pStyle w:val="3"/>
        <w:rPr>
          <w:rFonts w:hint="eastAsia" w:ascii="仿宋_GB2312" w:hAnsi="仿宋_GB2312" w:eastAsia="仿宋_GB2312" w:cs="仿宋_GB2312"/>
          <w:color w:val="auto"/>
          <w:highlight w:val="none"/>
        </w:rPr>
      </w:pPr>
    </w:p>
    <w:p w14:paraId="64DFF50A">
      <w:pPr>
        <w:pStyle w:val="3"/>
        <w:spacing w:line="360" w:lineRule="auto"/>
        <w:ind w:left="0" w:leftChars="0" w:firstLine="0" w:firstLineChars="0"/>
        <w:jc w:val="both"/>
        <w:rPr>
          <w:rFonts w:hint="eastAsia"/>
          <w:color w:val="auto"/>
          <w:highlight w:val="none"/>
        </w:rPr>
      </w:pPr>
    </w:p>
    <w:p w14:paraId="791C6B60">
      <w:pPr>
        <w:spacing w:line="360" w:lineRule="auto"/>
        <w:rPr>
          <w:color w:val="auto"/>
          <w:highlight w:val="none"/>
        </w:rPr>
      </w:pPr>
    </w:p>
    <w:p w14:paraId="6FEE007A">
      <w:pPr>
        <w:pStyle w:val="3"/>
        <w:spacing w:line="360" w:lineRule="auto"/>
        <w:rPr>
          <w:color w:val="auto"/>
          <w:highlight w:val="none"/>
        </w:rPr>
      </w:pPr>
    </w:p>
    <w:p w14:paraId="79F4DFC9">
      <w:pPr>
        <w:pStyle w:val="8"/>
        <w:spacing w:line="360" w:lineRule="auto"/>
        <w:ind w:firstLine="0" w:firstLineChars="0"/>
        <w:rPr>
          <w:rFonts w:hint="eastAsia" w:ascii="仿宋_GB2312" w:hAnsi="仿宋_GB2312" w:eastAsia="仿宋_GB2312" w:cs="仿宋_GB2312"/>
          <w:b w:val="0"/>
          <w:bCs w:val="0"/>
          <w:color w:val="auto"/>
          <w:sz w:val="30"/>
          <w:szCs w:val="30"/>
          <w:highlight w:val="none"/>
          <w:lang w:val="en-US" w:eastAsia="zh-CN"/>
        </w:rPr>
      </w:pPr>
    </w:p>
    <w:p w14:paraId="73BABFF2">
      <w:pPr>
        <w:spacing w:line="360" w:lineRule="auto"/>
        <w:jc w:val="both"/>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br w:type="page"/>
      </w:r>
      <w:r>
        <w:rPr>
          <w:rFonts w:hint="eastAsia" w:ascii="仿宋_GB2312" w:hAnsi="仿宋_GB2312" w:eastAsia="仿宋_GB2312" w:cs="仿宋_GB2312"/>
          <w:color w:val="auto"/>
          <w:sz w:val="30"/>
          <w:szCs w:val="30"/>
          <w:highlight w:val="none"/>
          <w:lang w:val="zh-TW" w:eastAsia="zh-CN"/>
        </w:rPr>
        <w:t>附件</w:t>
      </w:r>
      <w:r>
        <w:rPr>
          <w:rFonts w:hint="eastAsia" w:ascii="仿宋_GB2312" w:hAnsi="仿宋_GB2312" w:eastAsia="仿宋_GB2312" w:cs="仿宋_GB2312"/>
          <w:color w:val="auto"/>
          <w:sz w:val="30"/>
          <w:szCs w:val="30"/>
          <w:highlight w:val="none"/>
          <w:lang w:val="en-US" w:eastAsia="zh-CN"/>
        </w:rPr>
        <w:t xml:space="preserve">1：        </w:t>
      </w:r>
    </w:p>
    <w:p w14:paraId="7AE3F294">
      <w:pPr>
        <w:spacing w:line="360" w:lineRule="auto"/>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场地交付使用确认书</w:t>
      </w:r>
    </w:p>
    <w:p w14:paraId="6DFB0874">
      <w:pPr>
        <w:pStyle w:val="14"/>
        <w:keepNext w:val="0"/>
        <w:keepLines w:val="0"/>
        <w:pageBreakBefore w:val="0"/>
        <w:widowControl w:val="0"/>
        <w:kinsoku/>
        <w:wordWrap/>
        <w:overflowPunct/>
        <w:topLinePunct w:val="0"/>
        <w:autoSpaceDE/>
        <w:autoSpaceDN/>
        <w:bidi w:val="0"/>
        <w:adjustRightInd/>
        <w:snapToGrid/>
        <w:spacing w:line="360" w:lineRule="auto"/>
        <w:ind w:right="274" w:rightChars="114" w:firstLine="64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佛山市顺博城市运营服务有限公司（以下简称“甲方”）与</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eastAsia="zh-CN"/>
        </w:rPr>
        <w:t>（以下简称“乙方”）签订的《</w:t>
      </w:r>
      <w:r>
        <w:rPr>
          <w:rFonts w:hint="eastAsia" w:ascii="仿宋" w:hAnsi="仿宋" w:eastAsia="仿宋" w:cs="仿宋"/>
          <w:color w:val="auto"/>
          <w:sz w:val="32"/>
          <w:szCs w:val="32"/>
          <w:highlight w:val="none"/>
          <w:u w:val="single"/>
          <w:lang w:val="en-US" w:eastAsia="zh-CN"/>
        </w:rPr>
        <w:t xml:space="preserve">佛山新城文化中心青少宫103室及户外经营场地场地租赁 </w:t>
      </w:r>
      <w:r>
        <w:rPr>
          <w:rFonts w:hint="eastAsia" w:ascii="仿宋" w:hAnsi="仿宋" w:eastAsia="仿宋" w:cs="仿宋"/>
          <w:color w:val="auto"/>
          <w:sz w:val="32"/>
          <w:szCs w:val="32"/>
          <w:highlight w:val="none"/>
          <w:lang w:eastAsia="zh-CN"/>
        </w:rPr>
        <w:t>合同书》的相关条款，甲乙双方在</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eastAsia="zh-CN"/>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eastAsia="zh-CN"/>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eastAsia="zh-CN"/>
        </w:rPr>
        <w:t>日对出租场地（</w:t>
      </w:r>
      <w:r>
        <w:rPr>
          <w:rFonts w:hint="eastAsia" w:ascii="仿宋" w:hAnsi="仿宋" w:eastAsia="仿宋" w:cs="仿宋"/>
          <w:color w:val="auto"/>
          <w:sz w:val="32"/>
          <w:szCs w:val="32"/>
          <w:highlight w:val="none"/>
          <w:u w:val="single"/>
          <w:lang w:val="en-US" w:eastAsia="zh-CN"/>
        </w:rPr>
        <w:t xml:space="preserve">佛山新城文化中心青少宫103室及户外经营场地 </w:t>
      </w:r>
      <w:r>
        <w:rPr>
          <w:rFonts w:hint="eastAsia" w:ascii="仿宋" w:hAnsi="仿宋" w:eastAsia="仿宋" w:cs="仿宋"/>
          <w:color w:val="auto"/>
          <w:sz w:val="32"/>
          <w:szCs w:val="32"/>
          <w:highlight w:val="none"/>
          <w:lang w:val="en-US" w:eastAsia="zh-CN"/>
        </w:rPr>
        <w:t xml:space="preserve"> ；租赁面积为：</w:t>
      </w:r>
      <w:r>
        <w:rPr>
          <w:rFonts w:hint="eastAsia" w:ascii="仿宋" w:hAnsi="仿宋" w:eastAsia="仿宋" w:cs="仿宋"/>
          <w:color w:val="auto"/>
          <w:sz w:val="32"/>
          <w:szCs w:val="32"/>
          <w:highlight w:val="none"/>
          <w:u w:val="single"/>
          <w:lang w:val="en-US" w:eastAsia="zh-CN"/>
        </w:rPr>
        <w:t xml:space="preserve">83.12 </w:t>
      </w:r>
      <w:r>
        <w:rPr>
          <w:rFonts w:hint="eastAsia" w:ascii="仿宋" w:hAnsi="仿宋" w:eastAsia="仿宋" w:cs="仿宋"/>
          <w:color w:val="auto"/>
          <w:sz w:val="32"/>
          <w:szCs w:val="32"/>
          <w:highlight w:val="none"/>
          <w:lang w:val="en-US" w:eastAsia="zh-CN"/>
        </w:rPr>
        <w:t>平方米</w:t>
      </w:r>
      <w:r>
        <w:rPr>
          <w:rFonts w:hint="eastAsia" w:ascii="仿宋" w:hAnsi="仿宋" w:eastAsia="仿宋" w:cs="仿宋"/>
          <w:color w:val="auto"/>
          <w:sz w:val="32"/>
          <w:szCs w:val="32"/>
          <w:highlight w:val="none"/>
          <w:lang w:eastAsia="zh-CN"/>
        </w:rPr>
        <w:t>）进行了交接验收。</w:t>
      </w:r>
    </w:p>
    <w:p w14:paraId="60950D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经现场核实确认，甲方交付的场地符合租赁合同书中所约定的交付条件，场地运营由乙方负责维护维修，待租赁结束后按原状（自然损耗除外）归还甲方，乙方对此没有异议；自本确认书签署之日起，甲方正式移交且乙方正式接收场地。（以下无正文）</w:t>
      </w:r>
    </w:p>
    <w:tbl>
      <w:tblPr>
        <w:tblStyle w:val="10"/>
        <w:tblpPr w:leftFromText="180" w:rightFromText="180" w:vertAnchor="text" w:horzAnchor="page" w:tblpX="1825" w:tblpY="39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0"/>
        <w:gridCol w:w="4799"/>
      </w:tblGrid>
      <w:tr w14:paraId="63EC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8" w:hRule="atLeast"/>
        </w:trPr>
        <w:tc>
          <w:tcPr>
            <w:tcW w:w="4520" w:type="dxa"/>
            <w:tcBorders>
              <w:tl2br w:val="nil"/>
              <w:tr2bl w:val="nil"/>
            </w:tcBorders>
            <w:noWrap w:val="0"/>
            <w:vAlign w:val="top"/>
          </w:tcPr>
          <w:p w14:paraId="317BEE63">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甲方(盖章):</w:t>
            </w:r>
          </w:p>
          <w:p w14:paraId="282A594B">
            <w:pPr>
              <w:spacing w:line="360" w:lineRule="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佛山市顺博城市运营服务有限公司</w:t>
            </w:r>
          </w:p>
          <w:p w14:paraId="663F73F4">
            <w:pPr>
              <w:spacing w:line="360" w:lineRule="auto"/>
              <w:rPr>
                <w:rFonts w:hint="eastAsia" w:ascii="仿宋" w:hAnsi="仿宋" w:eastAsia="仿宋" w:cs="仿宋"/>
                <w:color w:val="auto"/>
                <w:sz w:val="30"/>
                <w:szCs w:val="30"/>
                <w:highlight w:val="none"/>
              </w:rPr>
            </w:pPr>
          </w:p>
          <w:p w14:paraId="21052502">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日期：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日</w:t>
            </w:r>
          </w:p>
        </w:tc>
        <w:tc>
          <w:tcPr>
            <w:tcW w:w="4799" w:type="dxa"/>
            <w:tcBorders>
              <w:tl2br w:val="nil"/>
              <w:tr2bl w:val="nil"/>
            </w:tcBorders>
            <w:noWrap w:val="0"/>
            <w:vAlign w:val="top"/>
          </w:tcPr>
          <w:p w14:paraId="158229D7">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乙方(盖章): </w:t>
            </w:r>
          </w:p>
          <w:p w14:paraId="7BD8D07B">
            <w:pPr>
              <w:spacing w:line="360" w:lineRule="auto"/>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4BED4CB0">
            <w:pPr>
              <w:spacing w:line="360" w:lineRule="auto"/>
              <w:rPr>
                <w:rFonts w:hint="eastAsia" w:ascii="仿宋" w:hAnsi="仿宋" w:eastAsia="仿宋" w:cs="仿宋"/>
                <w:color w:val="auto"/>
                <w:sz w:val="30"/>
                <w:szCs w:val="30"/>
                <w:highlight w:val="none"/>
              </w:rPr>
            </w:pPr>
          </w:p>
          <w:p w14:paraId="28EBF250">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00FDECF4">
            <w:pPr>
              <w:spacing w:line="360" w:lineRule="auto"/>
              <w:rPr>
                <w:rFonts w:hint="eastAsia" w:ascii="仿宋" w:hAnsi="仿宋" w:eastAsia="仿宋" w:cs="仿宋"/>
                <w:color w:val="auto"/>
                <w:sz w:val="30"/>
                <w:szCs w:val="30"/>
                <w:highlight w:val="none"/>
                <w:vertAlign w:val="baseli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日          </w:t>
            </w:r>
          </w:p>
        </w:tc>
      </w:tr>
    </w:tbl>
    <w:p w14:paraId="6C153945">
      <w:pPr>
        <w:pStyle w:val="9"/>
        <w:spacing w:line="360" w:lineRule="auto"/>
        <w:ind w:left="0" w:leftChars="0" w:firstLine="0" w:firstLineChars="0"/>
        <w:rPr>
          <w:rFonts w:hint="eastAsia"/>
          <w:color w:val="auto"/>
          <w:highlight w:val="none"/>
        </w:rPr>
      </w:pPr>
    </w:p>
    <w:p w14:paraId="429BAF8C">
      <w:pPr>
        <w:pStyle w:val="9"/>
        <w:spacing w:line="360" w:lineRule="auto"/>
        <w:ind w:left="0" w:leftChars="0" w:firstLine="0" w:firstLineChars="0"/>
        <w:rPr>
          <w:rFonts w:hint="eastAsia"/>
          <w:color w:val="auto"/>
          <w:highlight w:val="none"/>
        </w:rPr>
      </w:pPr>
    </w:p>
    <w:p w14:paraId="32336088">
      <w:pPr>
        <w:pStyle w:val="9"/>
        <w:spacing w:line="360" w:lineRule="auto"/>
        <w:ind w:left="0" w:leftChars="0" w:firstLine="0" w:firstLineChars="0"/>
        <w:rPr>
          <w:rFonts w:hint="eastAsia"/>
          <w:color w:val="auto"/>
          <w:highlight w:val="none"/>
        </w:rPr>
      </w:pPr>
    </w:p>
    <w:p w14:paraId="625F03FD">
      <w:pPr>
        <w:pStyle w:val="9"/>
        <w:spacing w:line="360" w:lineRule="auto"/>
        <w:ind w:left="0" w:leftChars="0" w:firstLine="0" w:firstLineChars="0"/>
        <w:rPr>
          <w:rFonts w:hint="default"/>
          <w:color w:val="auto"/>
          <w:highlight w:val="none"/>
          <w:lang w:val="en-US" w:eastAsia="zh-CN"/>
        </w:rPr>
      </w:pPr>
      <w:r>
        <w:rPr>
          <w:rFonts w:hint="eastAsia"/>
          <w:color w:val="auto"/>
          <w:highlight w:val="none"/>
          <w:lang w:eastAsia="zh-CN"/>
        </w:rPr>
        <w:t>附件</w:t>
      </w:r>
      <w:r>
        <w:rPr>
          <w:rFonts w:hint="eastAsia"/>
          <w:color w:val="auto"/>
          <w:highlight w:val="none"/>
          <w:lang w:val="en-US" w:eastAsia="zh-CN"/>
        </w:rPr>
        <w:t>2：</w:t>
      </w:r>
    </w:p>
    <w:p w14:paraId="2CFFEEE7">
      <w:pPr>
        <w:pStyle w:val="3"/>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drawing>
          <wp:inline distT="0" distB="0" distL="114300" distR="114300">
            <wp:extent cx="5177155" cy="7004050"/>
            <wp:effectExtent l="0" t="0" r="4445" b="6350"/>
            <wp:docPr id="1" name="图片 1" descr="附件1青少宫103室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青少宫103室位置图"/>
                    <pic:cNvPicPr>
                      <a:picLocks noChangeAspect="1"/>
                    </pic:cNvPicPr>
                  </pic:nvPicPr>
                  <pic:blipFill>
                    <a:blip r:embed="rId6"/>
                    <a:stretch>
                      <a:fillRect/>
                    </a:stretch>
                  </pic:blipFill>
                  <pic:spPr>
                    <a:xfrm>
                      <a:off x="0" y="0"/>
                      <a:ext cx="5177155" cy="7004050"/>
                    </a:xfrm>
                    <a:prstGeom prst="rect">
                      <a:avLst/>
                    </a:prstGeom>
                    <a:noFill/>
                    <a:ln>
                      <a:noFill/>
                    </a:ln>
                  </pic:spPr>
                </pic:pic>
              </a:graphicData>
            </a:graphic>
          </wp:inline>
        </w:drawing>
      </w:r>
    </w:p>
    <w:p w14:paraId="468A1BE6"/>
    <w:sectPr>
      <w:headerReference r:id="rId3" w:type="default"/>
      <w:footerReference r:id="rId4" w:type="default"/>
      <w:pgSz w:w="11906" w:h="16838"/>
      <w:pgMar w:top="1440" w:right="1946" w:bottom="1440" w:left="1800" w:header="851" w:footer="123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1051">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458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84580" cy="1828800"/>
                      </a:xfrm>
                      <a:prstGeom prst="rect">
                        <a:avLst/>
                      </a:prstGeom>
                      <a:noFill/>
                      <a:ln>
                        <a:noFill/>
                      </a:ln>
                    </wps:spPr>
                    <wps:txbx>
                      <w:txbxContent>
                        <w:p w14:paraId="3A7CBB37">
                          <w:pPr>
                            <w:snapToGrid w:val="0"/>
                            <w:rPr>
                              <w:rFonts w:hint="eastAsia" w:ascii="仿宋_GB2312" w:hAnsi="仿宋_GB2312" w:eastAsia="仿宋_GB2312" w:cs="仿宋_GB2312"/>
                              <w:sz w:val="18"/>
                            </w:rPr>
                          </w:pPr>
                          <w:r>
                            <w:rPr>
                              <w:rFonts w:hint="eastAsia" w:ascii="仿宋_GB2312" w:hAnsi="仿宋_GB2312" w:eastAsia="仿宋_GB2312" w:cs="仿宋_GB2312"/>
                              <w:sz w:val="18"/>
                            </w:rPr>
                            <w:t xml:space="preserve">第 </w:t>
                          </w:r>
                          <w:r>
                            <w:rPr>
                              <w:rFonts w:hint="eastAsia" w:ascii="仿宋_GB2312" w:hAnsi="仿宋_GB2312" w:eastAsia="仿宋_GB2312" w:cs="仿宋_GB2312"/>
                              <w:sz w:val="18"/>
                            </w:rPr>
                            <w:fldChar w:fldCharType="begin"/>
                          </w:r>
                          <w:r>
                            <w:rPr>
                              <w:rFonts w:hint="eastAsia" w:ascii="仿宋_GB2312" w:hAnsi="仿宋_GB2312" w:eastAsia="仿宋_GB2312" w:cs="仿宋_GB2312"/>
                              <w:sz w:val="18"/>
                            </w:rPr>
                            <w:instrText xml:space="preserve"> PAGE  \* MERGEFORMAT </w:instrText>
                          </w:r>
                          <w:r>
                            <w:rPr>
                              <w:rFonts w:hint="eastAsia" w:ascii="仿宋_GB2312" w:hAnsi="仿宋_GB2312" w:eastAsia="仿宋_GB2312" w:cs="仿宋_GB2312"/>
                              <w:sz w:val="18"/>
                            </w:rPr>
                            <w:fldChar w:fldCharType="separate"/>
                          </w:r>
                          <w:r>
                            <w:rPr>
                              <w:rFonts w:ascii="仿宋_GB2312" w:hAnsi="仿宋_GB2312" w:eastAsia="仿宋_GB2312" w:cs="仿宋_GB2312"/>
                              <w:sz w:val="18"/>
                            </w:rPr>
                            <w:t>13</w:t>
                          </w:r>
                          <w:r>
                            <w:rPr>
                              <w:rFonts w:hint="eastAsia" w:ascii="仿宋_GB2312" w:hAnsi="仿宋_GB2312" w:eastAsia="仿宋_GB2312" w:cs="仿宋_GB2312"/>
                              <w:sz w:val="18"/>
                            </w:rPr>
                            <w:fldChar w:fldCharType="end"/>
                          </w:r>
                          <w:r>
                            <w:rPr>
                              <w:rFonts w:hint="eastAsia" w:ascii="仿宋_GB2312" w:hAnsi="仿宋_GB2312" w:eastAsia="仿宋_GB2312" w:cs="仿宋_GB2312"/>
                              <w:sz w:val="18"/>
                            </w:rPr>
                            <w:t xml:space="preserve"> 页 共 </w:t>
                          </w:r>
                          <w:r>
                            <w:rPr>
                              <w:rFonts w:hint="eastAsia" w:ascii="仿宋_GB2312" w:hAnsi="仿宋_GB2312" w:eastAsia="仿宋_GB2312" w:cs="仿宋_GB2312"/>
                              <w:sz w:val="18"/>
                            </w:rPr>
                            <w:fldChar w:fldCharType="begin"/>
                          </w:r>
                          <w:r>
                            <w:rPr>
                              <w:rFonts w:hint="eastAsia" w:ascii="仿宋_GB2312" w:hAnsi="仿宋_GB2312" w:eastAsia="仿宋_GB2312" w:cs="仿宋_GB2312"/>
                              <w:sz w:val="18"/>
                            </w:rPr>
                            <w:instrText xml:space="preserve"> NUMPAGES  \* MERGEFORMAT </w:instrText>
                          </w:r>
                          <w:r>
                            <w:rPr>
                              <w:rFonts w:hint="eastAsia" w:ascii="仿宋_GB2312" w:hAnsi="仿宋_GB2312" w:eastAsia="仿宋_GB2312" w:cs="仿宋_GB2312"/>
                              <w:sz w:val="18"/>
                            </w:rPr>
                            <w:fldChar w:fldCharType="separate"/>
                          </w:r>
                          <w:r>
                            <w:rPr>
                              <w:rFonts w:ascii="仿宋_GB2312" w:hAnsi="仿宋_GB2312" w:eastAsia="仿宋_GB2312" w:cs="仿宋_GB2312"/>
                              <w:sz w:val="18"/>
                            </w:rPr>
                            <w:t>13</w:t>
                          </w:r>
                          <w:r>
                            <w:rPr>
                              <w:rFonts w:hint="eastAsia" w:ascii="仿宋_GB2312" w:hAnsi="仿宋_GB2312" w:eastAsia="仿宋_GB2312" w:cs="仿宋_GB2312"/>
                              <w:sz w:val="18"/>
                            </w:rPr>
                            <w:fldChar w:fldCharType="end"/>
                          </w:r>
                          <w:r>
                            <w:rPr>
                              <w:rFonts w:hint="eastAsia" w:ascii="仿宋_GB2312" w:hAnsi="仿宋_GB2312" w:eastAsia="仿宋_GB2312" w:cs="仿宋_GB2312"/>
                              <w:sz w:val="18"/>
                            </w:rP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5.4pt;mso-position-horizontal:center;mso-position-horizontal-relative:margin;z-index:251659264;mso-width-relative:page;mso-height-relative:page;" filled="f" stroked="f" coordsize="21600,21600" o:gfxdata="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XSFzNIAAAAFAQAADwAAAAAAAAABACAAAAAiAAAAZHJzL2Rvd25yZXYueG1s&#10;UEsBAhQAFAAAAAgAh07iQK8zT2HFAQAAjQMAAA4AAAAAAAAAAQAgAAAAIQEAAGRycy9lMm9Eb2Mu&#10;eG1sUEsFBgAAAAAGAAYAWQEAAFgFAAAAAA==&#10;">
              <v:path/>
              <v:fill on="f" focussize="0,0"/>
              <v:stroke on="f"/>
              <v:imagedata o:title=""/>
              <o:lock v:ext="edit" aspectratio="f"/>
              <v:textbox inset="0mm,0mm,0mm,0mm" style="mso-fit-shape-to-text:t;">
                <w:txbxContent>
                  <w:p w14:paraId="3A7CBB37">
                    <w:pPr>
                      <w:snapToGrid w:val="0"/>
                      <w:rPr>
                        <w:rFonts w:hint="eastAsia" w:ascii="仿宋_GB2312" w:hAnsi="仿宋_GB2312" w:eastAsia="仿宋_GB2312" w:cs="仿宋_GB2312"/>
                        <w:sz w:val="18"/>
                      </w:rPr>
                    </w:pPr>
                    <w:r>
                      <w:rPr>
                        <w:rFonts w:hint="eastAsia" w:ascii="仿宋_GB2312" w:hAnsi="仿宋_GB2312" w:eastAsia="仿宋_GB2312" w:cs="仿宋_GB2312"/>
                        <w:sz w:val="18"/>
                      </w:rPr>
                      <w:t xml:space="preserve">第 </w:t>
                    </w:r>
                    <w:r>
                      <w:rPr>
                        <w:rFonts w:hint="eastAsia" w:ascii="仿宋_GB2312" w:hAnsi="仿宋_GB2312" w:eastAsia="仿宋_GB2312" w:cs="仿宋_GB2312"/>
                        <w:sz w:val="18"/>
                      </w:rPr>
                      <w:fldChar w:fldCharType="begin"/>
                    </w:r>
                    <w:r>
                      <w:rPr>
                        <w:rFonts w:hint="eastAsia" w:ascii="仿宋_GB2312" w:hAnsi="仿宋_GB2312" w:eastAsia="仿宋_GB2312" w:cs="仿宋_GB2312"/>
                        <w:sz w:val="18"/>
                      </w:rPr>
                      <w:instrText xml:space="preserve"> PAGE  \* MERGEFORMAT </w:instrText>
                    </w:r>
                    <w:r>
                      <w:rPr>
                        <w:rFonts w:hint="eastAsia" w:ascii="仿宋_GB2312" w:hAnsi="仿宋_GB2312" w:eastAsia="仿宋_GB2312" w:cs="仿宋_GB2312"/>
                        <w:sz w:val="18"/>
                      </w:rPr>
                      <w:fldChar w:fldCharType="separate"/>
                    </w:r>
                    <w:r>
                      <w:rPr>
                        <w:rFonts w:ascii="仿宋_GB2312" w:hAnsi="仿宋_GB2312" w:eastAsia="仿宋_GB2312" w:cs="仿宋_GB2312"/>
                        <w:sz w:val="18"/>
                      </w:rPr>
                      <w:t>13</w:t>
                    </w:r>
                    <w:r>
                      <w:rPr>
                        <w:rFonts w:hint="eastAsia" w:ascii="仿宋_GB2312" w:hAnsi="仿宋_GB2312" w:eastAsia="仿宋_GB2312" w:cs="仿宋_GB2312"/>
                        <w:sz w:val="18"/>
                      </w:rPr>
                      <w:fldChar w:fldCharType="end"/>
                    </w:r>
                    <w:r>
                      <w:rPr>
                        <w:rFonts w:hint="eastAsia" w:ascii="仿宋_GB2312" w:hAnsi="仿宋_GB2312" w:eastAsia="仿宋_GB2312" w:cs="仿宋_GB2312"/>
                        <w:sz w:val="18"/>
                      </w:rPr>
                      <w:t xml:space="preserve"> 页 共 </w:t>
                    </w:r>
                    <w:r>
                      <w:rPr>
                        <w:rFonts w:hint="eastAsia" w:ascii="仿宋_GB2312" w:hAnsi="仿宋_GB2312" w:eastAsia="仿宋_GB2312" w:cs="仿宋_GB2312"/>
                        <w:sz w:val="18"/>
                      </w:rPr>
                      <w:fldChar w:fldCharType="begin"/>
                    </w:r>
                    <w:r>
                      <w:rPr>
                        <w:rFonts w:hint="eastAsia" w:ascii="仿宋_GB2312" w:hAnsi="仿宋_GB2312" w:eastAsia="仿宋_GB2312" w:cs="仿宋_GB2312"/>
                        <w:sz w:val="18"/>
                      </w:rPr>
                      <w:instrText xml:space="preserve"> NUMPAGES  \* MERGEFORMAT </w:instrText>
                    </w:r>
                    <w:r>
                      <w:rPr>
                        <w:rFonts w:hint="eastAsia" w:ascii="仿宋_GB2312" w:hAnsi="仿宋_GB2312" w:eastAsia="仿宋_GB2312" w:cs="仿宋_GB2312"/>
                        <w:sz w:val="18"/>
                      </w:rPr>
                      <w:fldChar w:fldCharType="separate"/>
                    </w:r>
                    <w:r>
                      <w:rPr>
                        <w:rFonts w:ascii="仿宋_GB2312" w:hAnsi="仿宋_GB2312" w:eastAsia="仿宋_GB2312" w:cs="仿宋_GB2312"/>
                        <w:sz w:val="18"/>
                      </w:rPr>
                      <w:t>13</w:t>
                    </w:r>
                    <w:r>
                      <w:rPr>
                        <w:rFonts w:hint="eastAsia" w:ascii="仿宋_GB2312" w:hAnsi="仿宋_GB2312" w:eastAsia="仿宋_GB2312" w:cs="仿宋_GB2312"/>
                        <w:sz w:val="18"/>
                      </w:rPr>
                      <w:fldChar w:fldCharType="end"/>
                    </w:r>
                    <w:r>
                      <w:rPr>
                        <w:rFonts w:hint="eastAsia" w:ascii="仿宋_GB2312" w:hAnsi="仿宋_GB2312" w:eastAsia="仿宋_GB2312" w:cs="仿宋_GB2312"/>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62D8">
    <w:pPr>
      <w:pStyle w:val="7"/>
      <w:pBdr>
        <w:bottom w:val="single" w:color="auto" w:sz="4" w:space="1"/>
      </w:pBdr>
      <w:jc w:val="right"/>
    </w:pPr>
    <w:r>
      <w:rPr>
        <w:rFonts w:hint="eastAsia" w:ascii="仿宋_GB2312" w:hAnsi="仿宋_GB2312" w:eastAsia="仿宋_GB2312" w:cs="仿宋_GB2312"/>
      </w:rPr>
      <w:t>保利中心项目房屋租赁合同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62DF66F1"/>
    <w:multiLevelType w:val="singleLevel"/>
    <w:tmpl w:val="62DF66F1"/>
    <w:lvl w:ilvl="0" w:tentative="0">
      <w:start w:val="2"/>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076A8"/>
    <w:rsid w:val="6C996731"/>
    <w:rsid w:val="7F63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uiPriority w:val="0"/>
    <w:pPr>
      <w:spacing w:after="120" w:afterLines="0"/>
    </w:pPr>
    <w:rPr>
      <w:rFonts w:ascii="Times New Roman" w:hAnsi="Times New Roman" w:eastAsia="宋体" w:cs="Times New Roman"/>
    </w:rPr>
  </w:style>
  <w:style w:type="paragraph" w:styleId="5">
    <w:name w:val="Body Text Indent"/>
    <w:basedOn w:val="1"/>
    <w:qFormat/>
    <w:uiPriority w:val="0"/>
    <w:pPr>
      <w:snapToGrid w:val="0"/>
      <w:spacing w:line="540" w:lineRule="exact"/>
      <w:ind w:firstLine="540"/>
    </w:pPr>
    <w:rPr>
      <w:rFonts w:ascii="宋体" w:hAnsi="宋体" w:eastAsia="宋体" w:cs="Times New Roman"/>
      <w:sz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rPr>
      <w:rFonts w:ascii="Times New Roman" w:hAnsi="Times New Roman" w:eastAsia="宋体" w:cs="Times New Roman"/>
    </w:rPr>
  </w:style>
  <w:style w:type="paragraph" w:styleId="9">
    <w:name w:val="Body Text First Indent 2"/>
    <w:basedOn w:val="5"/>
    <w:uiPriority w:val="0"/>
    <w:pPr>
      <w:ind w:firstLine="420" w:firstLineChars="200"/>
    </w:pPr>
    <w:rPr>
      <w:rFonts w:ascii="Times New Roman" w:hAnsi="Times New Roman" w:eastAsia="宋体" w:cs="Times New Roman"/>
    </w:rPr>
  </w:style>
  <w:style w:type="paragraph" w:customStyle="1" w:styleId="12">
    <w:name w:val="样式1"/>
    <w:basedOn w:val="1"/>
    <w:qFormat/>
    <w:uiPriority w:val="0"/>
    <w:pPr>
      <w:spacing w:line="600" w:lineRule="exact"/>
      <w:ind w:firstLine="643"/>
    </w:pPr>
    <w:rPr>
      <w:rFonts w:hint="eastAsia" w:ascii="方正仿宋_GB2312" w:hAnsi="方正仿宋_GB2312" w:eastAsia="方正仿宋_GB2312" w:cs="方正仿宋_GB2312"/>
      <w:b/>
      <w:bCs/>
      <w:color w:val="000000" w:themeColor="text1"/>
      <w:sz w:val="32"/>
      <w:szCs w:val="32"/>
      <w14:textFill>
        <w14:solidFill>
          <w14:schemeClr w14:val="tx1"/>
        </w14:solidFill>
      </w14:textFill>
    </w:rPr>
  </w:style>
  <w:style w:type="paragraph" w:customStyle="1" w:styleId="13">
    <w:name w:val="Defaul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14">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2023-12-01T01:20:00Z</dcterms:created>
  <dc:creator>Administrator</dc:creator>
  <cp:lastModifiedBy>smangoh</cp:lastModifiedBy>
  <dcterms:modified xsi:type="dcterms:W3CDTF">2026-07-22T09:41:43Z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691E32DEE99C466C8DB7B1D9D5CD698F_12</vt:lpwstr>
  </property>
  <property fmtid="{D5CDD505-2E9C-101B-9397-08002B2CF9AE}" pid="4" name="KSOTemplateDocerSaveRecord">
    <vt:lpwstr>eyJoZGlkIjoiMjcxMmVjMDU2NGMyYTk0MGI4OGRiZWM2MWExNGE0NWUiLCJ1c2VySWQiOiI2NTI4ODIzMTgifQ==</vt:lpwstr>
  </property>
</Properties>
</file>