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FDF33">
      <w:pPr>
        <w:pStyle w:val="3"/>
        <w:rPr>
          <w:color w:val="auto"/>
          <w:highlight w:val="none"/>
        </w:rPr>
      </w:pPr>
    </w:p>
    <w:p w14:paraId="7FC27588">
      <w:pPr>
        <w:pStyle w:val="10"/>
        <w:pageBreakBefore w:val="0"/>
        <w:overflowPunct/>
        <w:bidi w:val="0"/>
        <w:spacing w:line="260" w:lineRule="auto"/>
        <w:ind w:right="0"/>
        <w:rPr>
          <w:color w:val="auto"/>
          <w:highlight w:val="none"/>
        </w:rPr>
      </w:pPr>
    </w:p>
    <w:p w14:paraId="5EBA0C90">
      <w:pPr>
        <w:pStyle w:val="10"/>
        <w:pageBreakBefore w:val="0"/>
        <w:overflowPunct/>
        <w:bidi w:val="0"/>
        <w:spacing w:line="260" w:lineRule="auto"/>
        <w:ind w:right="0"/>
        <w:rPr>
          <w:color w:val="auto"/>
          <w:highlight w:val="none"/>
        </w:rPr>
      </w:pPr>
    </w:p>
    <w:p w14:paraId="01716CCB">
      <w:pPr>
        <w:pStyle w:val="10"/>
        <w:pageBreakBefore w:val="0"/>
        <w:overflowPunct/>
        <w:bidi w:val="0"/>
        <w:spacing w:line="249" w:lineRule="auto"/>
        <w:ind w:right="0"/>
        <w:rPr>
          <w:color w:val="auto"/>
          <w:highlight w:val="none"/>
        </w:rPr>
      </w:pPr>
    </w:p>
    <w:p w14:paraId="19506E9E">
      <w:pPr>
        <w:pStyle w:val="10"/>
        <w:pageBreakBefore w:val="0"/>
        <w:overflowPunct/>
        <w:bidi w:val="0"/>
        <w:spacing w:line="249" w:lineRule="auto"/>
        <w:ind w:right="0"/>
        <w:rPr>
          <w:color w:val="auto"/>
          <w:highlight w:val="none"/>
        </w:rPr>
      </w:pPr>
    </w:p>
    <w:p w14:paraId="03BBC204">
      <w:pPr>
        <w:pStyle w:val="10"/>
        <w:pageBreakBefore w:val="0"/>
        <w:overflowPunct/>
        <w:bidi w:val="0"/>
        <w:spacing w:line="249" w:lineRule="auto"/>
        <w:ind w:right="0"/>
        <w:rPr>
          <w:color w:val="auto"/>
          <w:highlight w:val="none"/>
        </w:rPr>
      </w:pPr>
    </w:p>
    <w:p w14:paraId="4C02C993">
      <w:pPr>
        <w:pStyle w:val="10"/>
        <w:pageBreakBefore w:val="0"/>
        <w:overflowPunct/>
        <w:bidi w:val="0"/>
        <w:spacing w:line="249" w:lineRule="auto"/>
        <w:ind w:right="0"/>
        <w:jc w:val="center"/>
        <w:rPr>
          <w:rFonts w:hint="eastAsia" w:ascii="仿宋_GB2312" w:eastAsia="仿宋_GB2312"/>
          <w:b/>
          <w:color w:val="auto"/>
          <w:sz w:val="44"/>
          <w:szCs w:val="44"/>
          <w:highlight w:val="none"/>
          <w:u w:val="none"/>
          <w:lang w:val="en-US" w:eastAsia="zh-CN"/>
        </w:rPr>
      </w:pPr>
      <w:r>
        <w:rPr>
          <w:rFonts w:hint="eastAsia" w:ascii="仿宋_GB2312" w:eastAsia="仿宋_GB2312"/>
          <w:b/>
          <w:color w:val="auto"/>
          <w:sz w:val="44"/>
          <w:szCs w:val="44"/>
          <w:highlight w:val="none"/>
          <w:u w:val="none"/>
          <w:lang w:val="en-US" w:eastAsia="zh-CN"/>
        </w:rPr>
        <w:t>佛山顺德粤港澳协同发展合作区排水管网建设及改造工程（二期、三期、四期）</w:t>
      </w:r>
    </w:p>
    <w:p w14:paraId="6DED862A">
      <w:pPr>
        <w:pStyle w:val="10"/>
        <w:pageBreakBefore w:val="0"/>
        <w:overflowPunct/>
        <w:bidi w:val="0"/>
        <w:spacing w:line="249" w:lineRule="auto"/>
        <w:ind w:right="0"/>
        <w:jc w:val="center"/>
        <w:rPr>
          <w:color w:val="auto"/>
          <w:highlight w:val="none"/>
        </w:rPr>
      </w:pPr>
      <w:r>
        <w:rPr>
          <w:rFonts w:hint="eastAsia" w:ascii="仿宋_GB2312" w:eastAsia="仿宋_GB2312"/>
          <w:b/>
          <w:color w:val="auto"/>
          <w:sz w:val="44"/>
          <w:szCs w:val="44"/>
          <w:highlight w:val="none"/>
          <w:u w:val="none"/>
          <w:lang w:val="en-US" w:eastAsia="zh-CN"/>
        </w:rPr>
        <w:t>水土保持监测</w:t>
      </w:r>
    </w:p>
    <w:p w14:paraId="3DC2142D">
      <w:pPr>
        <w:pStyle w:val="10"/>
        <w:pageBreakBefore w:val="0"/>
        <w:overflowPunct/>
        <w:bidi w:val="0"/>
        <w:spacing w:line="250" w:lineRule="auto"/>
        <w:ind w:right="0"/>
        <w:rPr>
          <w:color w:val="auto"/>
          <w:highlight w:val="none"/>
        </w:rPr>
      </w:pPr>
    </w:p>
    <w:p w14:paraId="0E490B16">
      <w:pPr>
        <w:pStyle w:val="10"/>
        <w:pageBreakBefore w:val="0"/>
        <w:overflowPunct/>
        <w:bidi w:val="0"/>
        <w:spacing w:line="250" w:lineRule="auto"/>
        <w:ind w:right="0"/>
        <w:rPr>
          <w:color w:val="auto"/>
          <w:highlight w:val="none"/>
        </w:rPr>
      </w:pPr>
    </w:p>
    <w:p w14:paraId="14B70D99">
      <w:pPr>
        <w:pStyle w:val="10"/>
        <w:pageBreakBefore w:val="0"/>
        <w:overflowPunct/>
        <w:bidi w:val="0"/>
        <w:spacing w:line="250" w:lineRule="auto"/>
        <w:ind w:right="0"/>
        <w:rPr>
          <w:color w:val="auto"/>
          <w:highlight w:val="none"/>
        </w:rPr>
      </w:pPr>
    </w:p>
    <w:p w14:paraId="47AAD30E">
      <w:pPr>
        <w:pStyle w:val="10"/>
        <w:pageBreakBefore w:val="0"/>
        <w:overflowPunct/>
        <w:bidi w:val="0"/>
        <w:spacing w:line="250" w:lineRule="auto"/>
        <w:ind w:right="0"/>
        <w:rPr>
          <w:color w:val="auto"/>
          <w:highlight w:val="none"/>
        </w:rPr>
      </w:pPr>
    </w:p>
    <w:p w14:paraId="6FCEBCCF">
      <w:pPr>
        <w:pageBreakBefore w:val="0"/>
        <w:overflowPunct/>
        <w:bidi w:val="0"/>
        <w:spacing w:before="230" w:line="224" w:lineRule="auto"/>
        <w:ind w:left="2211" w:right="0"/>
        <w:outlineLvl w:val="0"/>
        <w:rPr>
          <w:rFonts w:ascii="黑体" w:hAnsi="黑体" w:eastAsia="黑体" w:cs="黑体"/>
          <w:color w:val="auto"/>
          <w:sz w:val="71"/>
          <w:szCs w:val="71"/>
          <w:highlight w:val="none"/>
        </w:rPr>
      </w:pPr>
      <w:bookmarkStart w:id="0" w:name="bookmark1"/>
      <w:bookmarkEnd w:id="0"/>
      <w:bookmarkStart w:id="1" w:name="_Toc2417"/>
      <w:bookmarkStart w:id="2" w:name="_Toc12220"/>
      <w:bookmarkStart w:id="3" w:name="_Toc9789"/>
      <w:bookmarkStart w:id="4" w:name="_Toc10254"/>
      <w:r>
        <w:rPr>
          <w:rFonts w:ascii="黑体" w:hAnsi="黑体" w:eastAsia="黑体" w:cs="黑体"/>
          <w:color w:val="auto"/>
          <w:spacing w:val="-6"/>
          <w:sz w:val="71"/>
          <w:szCs w:val="71"/>
          <w:highlight w:val="none"/>
        </w:rPr>
        <w:t>招 标</w:t>
      </w:r>
      <w:r>
        <w:rPr>
          <w:rFonts w:ascii="黑体" w:hAnsi="黑体" w:eastAsia="黑体" w:cs="黑体"/>
          <w:color w:val="auto"/>
          <w:spacing w:val="43"/>
          <w:sz w:val="71"/>
          <w:szCs w:val="71"/>
          <w:highlight w:val="none"/>
        </w:rPr>
        <w:t xml:space="preserve"> </w:t>
      </w:r>
      <w:r>
        <w:rPr>
          <w:rFonts w:ascii="黑体" w:hAnsi="黑体" w:eastAsia="黑体" w:cs="黑体"/>
          <w:color w:val="auto"/>
          <w:spacing w:val="-6"/>
          <w:sz w:val="71"/>
          <w:szCs w:val="71"/>
          <w:highlight w:val="none"/>
        </w:rPr>
        <w:t>文</w:t>
      </w:r>
      <w:r>
        <w:rPr>
          <w:rFonts w:ascii="黑体" w:hAnsi="黑体" w:eastAsia="黑体" w:cs="黑体"/>
          <w:color w:val="auto"/>
          <w:spacing w:val="28"/>
          <w:sz w:val="71"/>
          <w:szCs w:val="71"/>
          <w:highlight w:val="none"/>
        </w:rPr>
        <w:t xml:space="preserve"> </w:t>
      </w:r>
      <w:r>
        <w:rPr>
          <w:rFonts w:ascii="黑体" w:hAnsi="黑体" w:eastAsia="黑体" w:cs="黑体"/>
          <w:color w:val="auto"/>
          <w:spacing w:val="-6"/>
          <w:sz w:val="71"/>
          <w:szCs w:val="71"/>
          <w:highlight w:val="none"/>
        </w:rPr>
        <w:t>件</w:t>
      </w:r>
      <w:bookmarkEnd w:id="1"/>
      <w:bookmarkEnd w:id="2"/>
      <w:bookmarkEnd w:id="3"/>
      <w:bookmarkEnd w:id="4"/>
    </w:p>
    <w:p w14:paraId="74166F83">
      <w:pPr>
        <w:pStyle w:val="10"/>
        <w:pageBreakBefore w:val="0"/>
        <w:overflowPunct/>
        <w:bidi w:val="0"/>
        <w:spacing w:line="255" w:lineRule="auto"/>
        <w:ind w:right="0"/>
        <w:rPr>
          <w:color w:val="auto"/>
          <w:highlight w:val="none"/>
        </w:rPr>
      </w:pPr>
    </w:p>
    <w:p w14:paraId="53AF5FEA">
      <w:pPr>
        <w:pStyle w:val="10"/>
        <w:pageBreakBefore w:val="0"/>
        <w:overflowPunct/>
        <w:bidi w:val="0"/>
        <w:spacing w:line="255" w:lineRule="auto"/>
        <w:ind w:right="0"/>
        <w:rPr>
          <w:color w:val="auto"/>
          <w:highlight w:val="none"/>
        </w:rPr>
      </w:pPr>
    </w:p>
    <w:p w14:paraId="56117EA2">
      <w:pPr>
        <w:pStyle w:val="10"/>
        <w:pageBreakBefore w:val="0"/>
        <w:overflowPunct/>
        <w:bidi w:val="0"/>
        <w:spacing w:line="255" w:lineRule="auto"/>
        <w:ind w:right="0"/>
        <w:rPr>
          <w:color w:val="auto"/>
          <w:highlight w:val="none"/>
        </w:rPr>
      </w:pPr>
    </w:p>
    <w:p w14:paraId="4D48A61A">
      <w:pPr>
        <w:pStyle w:val="10"/>
        <w:pageBreakBefore w:val="0"/>
        <w:overflowPunct/>
        <w:bidi w:val="0"/>
        <w:spacing w:line="255" w:lineRule="auto"/>
        <w:ind w:right="0"/>
        <w:rPr>
          <w:color w:val="auto"/>
          <w:highlight w:val="none"/>
        </w:rPr>
      </w:pPr>
    </w:p>
    <w:p w14:paraId="59E3610A">
      <w:pPr>
        <w:pStyle w:val="10"/>
        <w:pageBreakBefore w:val="0"/>
        <w:overflowPunct/>
        <w:bidi w:val="0"/>
        <w:spacing w:line="255" w:lineRule="auto"/>
        <w:ind w:right="0"/>
        <w:rPr>
          <w:color w:val="auto"/>
          <w:highlight w:val="none"/>
        </w:rPr>
      </w:pPr>
    </w:p>
    <w:p w14:paraId="03BDDD1B">
      <w:pPr>
        <w:pStyle w:val="10"/>
        <w:pageBreakBefore w:val="0"/>
        <w:overflowPunct/>
        <w:bidi w:val="0"/>
        <w:spacing w:line="256" w:lineRule="auto"/>
        <w:ind w:right="0"/>
        <w:rPr>
          <w:color w:val="auto"/>
          <w:highlight w:val="none"/>
        </w:rPr>
      </w:pPr>
    </w:p>
    <w:p w14:paraId="53608BF5">
      <w:pPr>
        <w:pStyle w:val="10"/>
        <w:pageBreakBefore w:val="0"/>
        <w:overflowPunct/>
        <w:bidi w:val="0"/>
        <w:spacing w:line="256" w:lineRule="auto"/>
        <w:ind w:right="0"/>
        <w:rPr>
          <w:color w:val="auto"/>
          <w:highlight w:val="none"/>
        </w:rPr>
      </w:pPr>
    </w:p>
    <w:p w14:paraId="3A336B42">
      <w:pPr>
        <w:pStyle w:val="10"/>
        <w:pageBreakBefore w:val="0"/>
        <w:overflowPunct/>
        <w:bidi w:val="0"/>
        <w:spacing w:line="256" w:lineRule="auto"/>
        <w:ind w:right="0"/>
        <w:rPr>
          <w:color w:val="auto"/>
          <w:highlight w:val="none"/>
        </w:rPr>
      </w:pPr>
    </w:p>
    <w:p w14:paraId="333CB079">
      <w:pPr>
        <w:pStyle w:val="10"/>
        <w:pageBreakBefore w:val="0"/>
        <w:overflowPunct/>
        <w:bidi w:val="0"/>
        <w:spacing w:line="256" w:lineRule="auto"/>
        <w:ind w:right="0"/>
        <w:rPr>
          <w:color w:val="auto"/>
          <w:highlight w:val="none"/>
        </w:rPr>
      </w:pPr>
    </w:p>
    <w:p w14:paraId="159E739C">
      <w:pPr>
        <w:pageBreakBefore w:val="0"/>
        <w:overflowPunct/>
        <w:bidi w:val="0"/>
        <w:spacing w:before="99" w:line="219" w:lineRule="auto"/>
        <w:ind w:left="626" w:right="0"/>
        <w:rPr>
          <w:rFonts w:ascii="宋体" w:hAnsi="宋体" w:eastAsia="宋体" w:cs="宋体"/>
          <w:color w:val="auto"/>
          <w:sz w:val="30"/>
          <w:szCs w:val="30"/>
          <w:highlight w:val="none"/>
        </w:rPr>
      </w:pPr>
      <w:r>
        <w:rPr>
          <w:rFonts w:ascii="宋体" w:hAnsi="宋体" w:eastAsia="宋体" w:cs="宋体"/>
          <w:color w:val="auto"/>
          <w:spacing w:val="-1"/>
          <w:sz w:val="30"/>
          <w:szCs w:val="30"/>
          <w:highlight w:val="none"/>
        </w:rPr>
        <w:t>招标人：</w:t>
      </w:r>
      <w:r>
        <w:rPr>
          <w:rFonts w:ascii="宋体" w:hAnsi="宋体" w:eastAsia="宋体" w:cs="宋体"/>
          <w:color w:val="auto"/>
          <w:spacing w:val="-1"/>
          <w:sz w:val="30"/>
          <w:szCs w:val="30"/>
          <w:highlight w:val="none"/>
          <w:u w:val="single" w:color="auto"/>
        </w:rPr>
        <w:t>广东顺控水务投资建设有限公司（盖公章）</w:t>
      </w:r>
    </w:p>
    <w:p w14:paraId="05E87D61">
      <w:pPr>
        <w:pStyle w:val="10"/>
        <w:pageBreakBefore w:val="0"/>
        <w:overflowPunct/>
        <w:bidi w:val="0"/>
        <w:spacing w:line="247" w:lineRule="auto"/>
        <w:ind w:right="0"/>
        <w:rPr>
          <w:color w:val="auto"/>
          <w:highlight w:val="none"/>
        </w:rPr>
      </w:pPr>
    </w:p>
    <w:p w14:paraId="11D1063A">
      <w:pPr>
        <w:pStyle w:val="10"/>
        <w:pageBreakBefore w:val="0"/>
        <w:overflowPunct/>
        <w:bidi w:val="0"/>
        <w:spacing w:line="247" w:lineRule="auto"/>
        <w:ind w:right="0"/>
        <w:rPr>
          <w:color w:val="auto"/>
          <w:highlight w:val="none"/>
        </w:rPr>
      </w:pPr>
    </w:p>
    <w:p w14:paraId="32BCC1ED">
      <w:pPr>
        <w:pStyle w:val="10"/>
        <w:pageBreakBefore w:val="0"/>
        <w:overflowPunct/>
        <w:bidi w:val="0"/>
        <w:spacing w:line="248" w:lineRule="auto"/>
        <w:ind w:right="0"/>
        <w:rPr>
          <w:color w:val="auto"/>
          <w:highlight w:val="none"/>
        </w:rPr>
      </w:pPr>
    </w:p>
    <w:p w14:paraId="301544E2">
      <w:pPr>
        <w:pageBreakBefore w:val="0"/>
        <w:overflowPunct/>
        <w:bidi w:val="0"/>
        <w:spacing w:before="97" w:line="219" w:lineRule="auto"/>
        <w:ind w:left="626" w:right="0"/>
        <w:rPr>
          <w:rFonts w:ascii="宋体" w:hAnsi="宋体" w:eastAsia="宋体" w:cs="宋体"/>
          <w:color w:val="auto"/>
          <w:sz w:val="30"/>
          <w:szCs w:val="30"/>
          <w:highlight w:val="none"/>
        </w:rPr>
      </w:pPr>
      <w:r>
        <w:rPr>
          <w:rFonts w:ascii="宋体" w:hAnsi="宋体" w:eastAsia="宋体" w:cs="宋体"/>
          <w:color w:val="auto"/>
          <w:spacing w:val="-1"/>
          <w:sz w:val="30"/>
          <w:szCs w:val="30"/>
          <w:highlight w:val="none"/>
        </w:rPr>
        <w:t>招标代理机构：</w:t>
      </w:r>
      <w:r>
        <w:rPr>
          <w:rFonts w:ascii="宋体" w:hAnsi="宋体" w:eastAsia="宋体" w:cs="宋体"/>
          <w:color w:val="auto"/>
          <w:spacing w:val="-1"/>
          <w:sz w:val="30"/>
          <w:szCs w:val="30"/>
          <w:highlight w:val="none"/>
          <w:u w:val="single" w:color="auto"/>
        </w:rPr>
        <w:t>深圳市深水水务咨询有限公司（盖公章）</w:t>
      </w:r>
    </w:p>
    <w:p w14:paraId="3FD076EE">
      <w:pPr>
        <w:pStyle w:val="10"/>
        <w:pageBreakBefore w:val="0"/>
        <w:overflowPunct/>
        <w:bidi w:val="0"/>
        <w:spacing w:line="247" w:lineRule="auto"/>
        <w:ind w:right="0"/>
        <w:rPr>
          <w:color w:val="auto"/>
          <w:highlight w:val="none"/>
        </w:rPr>
      </w:pPr>
    </w:p>
    <w:p w14:paraId="62FECB9F">
      <w:pPr>
        <w:pStyle w:val="10"/>
        <w:pageBreakBefore w:val="0"/>
        <w:overflowPunct/>
        <w:bidi w:val="0"/>
        <w:spacing w:line="248" w:lineRule="auto"/>
        <w:ind w:right="0"/>
        <w:rPr>
          <w:color w:val="auto"/>
          <w:highlight w:val="none"/>
        </w:rPr>
      </w:pPr>
    </w:p>
    <w:p w14:paraId="2B70D3B8">
      <w:pPr>
        <w:pStyle w:val="10"/>
        <w:pageBreakBefore w:val="0"/>
        <w:overflowPunct/>
        <w:bidi w:val="0"/>
        <w:spacing w:line="248" w:lineRule="auto"/>
        <w:ind w:right="0"/>
        <w:rPr>
          <w:color w:val="auto"/>
          <w:highlight w:val="none"/>
        </w:rPr>
      </w:pPr>
    </w:p>
    <w:p w14:paraId="47575936">
      <w:pPr>
        <w:pageBreakBefore w:val="0"/>
        <w:overflowPunct/>
        <w:bidi w:val="0"/>
        <w:spacing w:before="98" w:line="219" w:lineRule="auto"/>
        <w:ind w:left="2859" w:right="0"/>
        <w:rPr>
          <w:rFonts w:ascii="宋体" w:hAnsi="宋体" w:eastAsia="宋体" w:cs="宋体"/>
          <w:color w:val="auto"/>
          <w:sz w:val="30"/>
          <w:szCs w:val="30"/>
          <w:highlight w:val="none"/>
        </w:rPr>
      </w:pPr>
      <w:r>
        <w:rPr>
          <w:rFonts w:ascii="Times New Roman" w:hAnsi="Times New Roman" w:eastAsia="Times New Roman" w:cs="Times New Roman"/>
          <w:color w:val="auto"/>
          <w:spacing w:val="-6"/>
          <w:sz w:val="30"/>
          <w:szCs w:val="30"/>
          <w:highlight w:val="none"/>
          <w:u w:val="single" w:color="auto"/>
        </w:rPr>
        <w:t>202</w:t>
      </w:r>
      <w:r>
        <w:rPr>
          <w:rFonts w:hint="eastAsia" w:ascii="Times New Roman" w:hAnsi="Times New Roman" w:eastAsia="宋体" w:cs="Times New Roman"/>
          <w:color w:val="auto"/>
          <w:spacing w:val="-6"/>
          <w:sz w:val="30"/>
          <w:szCs w:val="30"/>
          <w:highlight w:val="none"/>
          <w:u w:val="single" w:color="auto"/>
          <w:lang w:val="en-US" w:eastAsia="zh-CN"/>
        </w:rPr>
        <w:t>6</w:t>
      </w:r>
      <w:r>
        <w:rPr>
          <w:rFonts w:ascii="Times New Roman" w:hAnsi="Times New Roman" w:eastAsia="Times New Roman" w:cs="Times New Roman"/>
          <w:color w:val="auto"/>
          <w:spacing w:val="-6"/>
          <w:sz w:val="30"/>
          <w:szCs w:val="30"/>
          <w:highlight w:val="none"/>
          <w:u w:val="single" w:color="auto"/>
        </w:rPr>
        <w:t xml:space="preserve"> </w:t>
      </w:r>
      <w:r>
        <w:rPr>
          <w:rFonts w:ascii="宋体" w:hAnsi="宋体" w:eastAsia="宋体" w:cs="宋体"/>
          <w:color w:val="auto"/>
          <w:spacing w:val="-6"/>
          <w:sz w:val="30"/>
          <w:szCs w:val="30"/>
          <w:highlight w:val="none"/>
        </w:rPr>
        <w:t>年</w:t>
      </w:r>
      <w:r>
        <w:rPr>
          <w:rFonts w:hint="eastAsia" w:ascii="宋体" w:hAnsi="宋体" w:eastAsia="宋体" w:cs="宋体"/>
          <w:color w:val="auto"/>
          <w:spacing w:val="-6"/>
          <w:sz w:val="30"/>
          <w:szCs w:val="30"/>
          <w:highlight w:val="none"/>
          <w:u w:val="single" w:color="auto"/>
          <w:lang w:val="en-US" w:eastAsia="zh-CN"/>
        </w:rPr>
        <w:t xml:space="preserve"> </w:t>
      </w:r>
      <w:r>
        <w:rPr>
          <w:rFonts w:hint="eastAsia" w:ascii="宋体" w:hAnsi="宋体" w:eastAsia="宋体" w:cs="宋体"/>
          <w:color w:val="auto"/>
          <w:spacing w:val="-64"/>
          <w:sz w:val="30"/>
          <w:szCs w:val="30"/>
          <w:highlight w:val="none"/>
          <w:u w:val="single" w:color="auto"/>
          <w:lang w:val="en-US" w:eastAsia="zh-CN"/>
        </w:rPr>
        <w:t>9</w:t>
      </w:r>
      <w:r>
        <w:rPr>
          <w:rFonts w:ascii="Times New Roman" w:hAnsi="Times New Roman" w:eastAsia="Times New Roman" w:cs="Times New Roman"/>
          <w:color w:val="auto"/>
          <w:spacing w:val="-6"/>
          <w:sz w:val="30"/>
          <w:szCs w:val="30"/>
          <w:highlight w:val="none"/>
          <w:u w:val="single" w:color="auto"/>
        </w:rPr>
        <w:t xml:space="preserve"> </w:t>
      </w:r>
      <w:r>
        <w:rPr>
          <w:rFonts w:hint="eastAsia" w:ascii="Times New Roman" w:hAnsi="Times New Roman" w:eastAsia="宋体" w:cs="Times New Roman"/>
          <w:color w:val="auto"/>
          <w:spacing w:val="-6"/>
          <w:sz w:val="30"/>
          <w:szCs w:val="30"/>
          <w:highlight w:val="none"/>
          <w:u w:val="single" w:color="auto"/>
          <w:lang w:val="en-US" w:eastAsia="zh-CN"/>
        </w:rPr>
        <w:t xml:space="preserve"> </w:t>
      </w:r>
      <w:r>
        <w:rPr>
          <w:rFonts w:ascii="宋体" w:hAnsi="宋体" w:eastAsia="宋体" w:cs="宋体"/>
          <w:color w:val="auto"/>
          <w:spacing w:val="-6"/>
          <w:sz w:val="30"/>
          <w:szCs w:val="30"/>
          <w:highlight w:val="none"/>
        </w:rPr>
        <w:t>月</w:t>
      </w:r>
      <w:r>
        <w:rPr>
          <w:rFonts w:ascii="Times New Roman" w:hAnsi="Times New Roman" w:eastAsia="Times New Roman" w:cs="Times New Roman"/>
          <w:color w:val="auto"/>
          <w:spacing w:val="3"/>
          <w:sz w:val="30"/>
          <w:szCs w:val="30"/>
          <w:highlight w:val="none"/>
          <w:u w:val="single" w:color="auto"/>
        </w:rPr>
        <w:t xml:space="preserve"> </w:t>
      </w:r>
      <w:r>
        <w:rPr>
          <w:rFonts w:hint="eastAsia" w:ascii="Times New Roman" w:hAnsi="Times New Roman" w:eastAsia="宋体" w:cs="Times New Roman"/>
          <w:color w:val="auto"/>
          <w:spacing w:val="3"/>
          <w:sz w:val="30"/>
          <w:szCs w:val="30"/>
          <w:highlight w:val="none"/>
          <w:u w:val="single" w:color="auto"/>
          <w:lang w:val="en-US" w:eastAsia="zh-CN"/>
        </w:rPr>
        <w:t xml:space="preserve"> 21 </w:t>
      </w:r>
      <w:r>
        <w:rPr>
          <w:rFonts w:ascii="宋体" w:hAnsi="宋体" w:eastAsia="宋体" w:cs="宋体"/>
          <w:color w:val="auto"/>
          <w:spacing w:val="-6"/>
          <w:sz w:val="30"/>
          <w:szCs w:val="30"/>
          <w:highlight w:val="none"/>
        </w:rPr>
        <w:t>日</w:t>
      </w:r>
    </w:p>
    <w:p w14:paraId="1249A581">
      <w:pPr>
        <w:pageBreakBefore w:val="0"/>
        <w:overflowPunct/>
        <w:bidi w:val="0"/>
        <w:spacing w:before="107" w:line="1706" w:lineRule="exact"/>
        <w:ind w:right="0"/>
        <w:rPr>
          <w:color w:val="auto"/>
          <w:highlight w:val="none"/>
        </w:rPr>
      </w:pPr>
    </w:p>
    <w:p w14:paraId="41E3E5EF">
      <w:pPr>
        <w:pageBreakBefore w:val="0"/>
        <w:overflowPunct/>
        <w:bidi w:val="0"/>
        <w:spacing w:before="107" w:line="1706" w:lineRule="exact"/>
        <w:ind w:right="0"/>
        <w:rPr>
          <w:rFonts w:hint="eastAsia" w:eastAsia="宋体"/>
          <w:color w:val="auto"/>
          <w:highlight w:val="none"/>
          <w:lang w:eastAsia="zh-CN"/>
        </w:rPr>
      </w:pPr>
    </w:p>
    <w:p w14:paraId="0A9A98C3">
      <w:pPr>
        <w:pageBreakBefore w:val="0"/>
        <w:overflowPunct/>
        <w:bidi w:val="0"/>
        <w:spacing w:line="1706" w:lineRule="exact"/>
        <w:ind w:right="0"/>
        <w:rPr>
          <w:color w:val="auto"/>
          <w:highlight w:val="none"/>
        </w:rPr>
        <w:sectPr>
          <w:pgSz w:w="11906" w:h="16839"/>
          <w:pgMar w:top="1417" w:right="1134" w:bottom="1417" w:left="1701" w:header="567" w:footer="567" w:gutter="0"/>
          <w:cols w:space="720" w:num="1"/>
        </w:sectPr>
      </w:pPr>
    </w:p>
    <w:sdt>
      <w:sdtPr>
        <w:rPr>
          <w:rFonts w:ascii="宋体" w:hAnsi="宋体" w:eastAsia="宋体" w:cs="Arial"/>
          <w:snapToGrid w:val="0"/>
          <w:color w:val="auto"/>
          <w:kern w:val="0"/>
          <w:sz w:val="44"/>
          <w:szCs w:val="44"/>
          <w:highlight w:val="none"/>
          <w:lang w:val="en-US" w:eastAsia="en-US" w:bidi="ar-SA"/>
        </w:rPr>
        <w:id w:val="147468717"/>
        <w15:color w:val="DBDBDB"/>
        <w:docPartObj>
          <w:docPartGallery w:val="Table of Contents"/>
          <w:docPartUnique/>
        </w:docPartObj>
      </w:sdtPr>
      <w:sdtEndPr>
        <w:rPr>
          <w:rFonts w:ascii="Arial" w:hAnsi="Arial" w:eastAsia="Arial" w:cs="Arial"/>
          <w:snapToGrid w:val="0"/>
          <w:color w:val="auto"/>
          <w:kern w:val="0"/>
          <w:sz w:val="21"/>
          <w:szCs w:val="21"/>
          <w:highlight w:val="none"/>
          <w:lang w:val="en-US" w:eastAsia="en-US" w:bidi="ar-SA"/>
        </w:rPr>
      </w:sdtEndPr>
      <w:sdtContent>
        <w:p w14:paraId="2865D40F">
          <w:pPr>
            <w:pageBreakBefore w:val="0"/>
            <w:overflowPunct/>
            <w:bidi w:val="0"/>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val="0"/>
              <w:bCs w:val="0"/>
              <w:color w:val="auto"/>
              <w:sz w:val="44"/>
              <w:szCs w:val="44"/>
              <w:highlight w:val="none"/>
            </w:rPr>
          </w:pPr>
          <w:r>
            <w:rPr>
              <w:rFonts w:hint="eastAsia" w:asciiTheme="minorEastAsia" w:hAnsiTheme="minorEastAsia" w:eastAsiaTheme="minorEastAsia" w:cstheme="minorEastAsia"/>
              <w:b w:val="0"/>
              <w:bCs w:val="0"/>
              <w:color w:val="auto"/>
              <w:sz w:val="44"/>
              <w:szCs w:val="44"/>
              <w:highlight w:val="none"/>
            </w:rPr>
            <w:t>目录</w:t>
          </w:r>
        </w:p>
        <w:p w14:paraId="70D28AC3">
          <w:pPr>
            <w:pStyle w:val="13"/>
            <w:tabs>
              <w:tab w:val="right" w:leader="dot" w:pos="9062"/>
            </w:tabs>
          </w:pPr>
          <w:r>
            <w:rPr>
              <w:rFonts w:hint="eastAsia" w:asciiTheme="minorEastAsia" w:hAnsiTheme="minorEastAsia" w:eastAsiaTheme="minorEastAsia" w:cstheme="minorEastAsia"/>
              <w:b w:val="0"/>
              <w:bCs w:val="0"/>
              <w:snapToGrid w:val="0"/>
              <w:color w:val="auto"/>
              <w:kern w:val="0"/>
              <w:sz w:val="28"/>
              <w:szCs w:val="28"/>
              <w:highlight w:val="none"/>
              <w:lang w:val="en-US" w:eastAsia="en-US" w:bidi="ar-SA"/>
            </w:rPr>
            <w:fldChar w:fldCharType="begin"/>
          </w:r>
          <w:r>
            <w:rPr>
              <w:rFonts w:hint="eastAsia" w:asciiTheme="minorEastAsia" w:hAnsiTheme="minorEastAsia" w:eastAsiaTheme="minorEastAsia" w:cstheme="minorEastAsia"/>
              <w:b w:val="0"/>
              <w:bCs w:val="0"/>
              <w:snapToGrid w:val="0"/>
              <w:color w:val="auto"/>
              <w:kern w:val="0"/>
              <w:sz w:val="28"/>
              <w:szCs w:val="28"/>
              <w:highlight w:val="none"/>
              <w:lang w:val="en-US" w:eastAsia="en-US" w:bidi="ar-SA"/>
            </w:rPr>
            <w:instrText xml:space="preserve">TOC \o "1-1" \h \u </w:instrText>
          </w:r>
          <w:r>
            <w:rPr>
              <w:rFonts w:hint="eastAsia" w:asciiTheme="minorEastAsia" w:hAnsiTheme="minorEastAsia" w:eastAsiaTheme="minorEastAsia" w:cstheme="minorEastAsia"/>
              <w:b w:val="0"/>
              <w:bCs w:val="0"/>
              <w:snapToGrid w:val="0"/>
              <w:color w:val="auto"/>
              <w:kern w:val="0"/>
              <w:sz w:val="28"/>
              <w:szCs w:val="28"/>
              <w:highlight w:val="none"/>
              <w:lang w:val="en-US" w:eastAsia="en-US" w:bidi="ar-SA"/>
            </w:rPr>
            <w:fldChar w:fldCharType="separate"/>
          </w: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_Toc10254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ascii="黑体" w:hAnsi="黑体" w:eastAsia="黑体" w:cs="黑体"/>
              <w:spacing w:val="-6"/>
              <w:szCs w:val="71"/>
              <w:highlight w:val="none"/>
            </w:rPr>
            <w:t>招 标</w:t>
          </w:r>
          <w:r>
            <w:rPr>
              <w:rFonts w:ascii="黑体" w:hAnsi="黑体" w:eastAsia="黑体" w:cs="黑体"/>
              <w:spacing w:val="43"/>
              <w:szCs w:val="71"/>
              <w:highlight w:val="none"/>
            </w:rPr>
            <w:t xml:space="preserve"> </w:t>
          </w:r>
          <w:r>
            <w:rPr>
              <w:rFonts w:ascii="黑体" w:hAnsi="黑体" w:eastAsia="黑体" w:cs="黑体"/>
              <w:spacing w:val="-6"/>
              <w:szCs w:val="71"/>
              <w:highlight w:val="none"/>
            </w:rPr>
            <w:t>文</w:t>
          </w:r>
          <w:r>
            <w:rPr>
              <w:rFonts w:ascii="黑体" w:hAnsi="黑体" w:eastAsia="黑体" w:cs="黑体"/>
              <w:spacing w:val="28"/>
              <w:szCs w:val="71"/>
              <w:highlight w:val="none"/>
            </w:rPr>
            <w:t xml:space="preserve"> </w:t>
          </w:r>
          <w:r>
            <w:rPr>
              <w:rFonts w:ascii="黑体" w:hAnsi="黑体" w:eastAsia="黑体" w:cs="黑体"/>
              <w:spacing w:val="-6"/>
              <w:szCs w:val="71"/>
              <w:highlight w:val="none"/>
            </w:rPr>
            <w:t>件</w:t>
          </w:r>
          <w:r>
            <w:tab/>
          </w:r>
          <w:r>
            <w:fldChar w:fldCharType="begin"/>
          </w:r>
          <w:r>
            <w:instrText xml:space="preserve"> PAGEREF _Toc10254 \h </w:instrText>
          </w:r>
          <w:r>
            <w:fldChar w:fldCharType="separate"/>
          </w:r>
          <w:r>
            <w:t>1</w:t>
          </w:r>
          <w:r>
            <w:fldChar w:fldCharType="end"/>
          </w: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end"/>
          </w:r>
        </w:p>
        <w:p w14:paraId="264A9415">
          <w:pPr>
            <w:pStyle w:val="13"/>
            <w:tabs>
              <w:tab w:val="right" w:leader="dot" w:pos="9062"/>
            </w:tabs>
          </w:pP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_Toc31133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ascii="黑体" w:hAnsi="黑体" w:eastAsia="黑体" w:cs="黑体"/>
              <w:bCs/>
              <w:spacing w:val="6"/>
              <w:szCs w:val="31"/>
              <w:highlight w:val="none"/>
            </w:rPr>
            <w:t>第一章</w:t>
          </w:r>
          <w:r>
            <w:rPr>
              <w:rFonts w:ascii="黑体" w:hAnsi="黑体" w:eastAsia="黑体" w:cs="黑体"/>
              <w:spacing w:val="6"/>
              <w:szCs w:val="31"/>
              <w:highlight w:val="none"/>
            </w:rPr>
            <w:t xml:space="preserve"> </w:t>
          </w:r>
          <w:r>
            <w:rPr>
              <w:rFonts w:ascii="黑体" w:hAnsi="黑体" w:eastAsia="黑体" w:cs="黑体"/>
              <w:bCs/>
              <w:spacing w:val="6"/>
              <w:szCs w:val="31"/>
              <w:highlight w:val="none"/>
            </w:rPr>
            <w:t>投标文件否决性条款摘要</w:t>
          </w:r>
          <w:r>
            <w:tab/>
          </w:r>
          <w:r>
            <w:fldChar w:fldCharType="begin"/>
          </w:r>
          <w:r>
            <w:instrText xml:space="preserve"> PAGEREF _Toc31133 \h </w:instrText>
          </w:r>
          <w:r>
            <w:fldChar w:fldCharType="separate"/>
          </w:r>
          <w:r>
            <w:t>1</w:t>
          </w:r>
          <w:r>
            <w:fldChar w:fldCharType="end"/>
          </w: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end"/>
          </w:r>
        </w:p>
        <w:p w14:paraId="35F56714">
          <w:pPr>
            <w:pStyle w:val="13"/>
            <w:tabs>
              <w:tab w:val="right" w:leader="dot" w:pos="9062"/>
            </w:tabs>
          </w:pP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_Toc23135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hint="eastAsia"/>
              <w:highlight w:val="none"/>
            </w:rPr>
            <w:t>第二章 招标公告</w:t>
          </w:r>
          <w:r>
            <w:tab/>
          </w:r>
          <w:r>
            <w:fldChar w:fldCharType="begin"/>
          </w:r>
          <w:r>
            <w:instrText xml:space="preserve"> PAGEREF _Toc23135 \h </w:instrText>
          </w:r>
          <w:r>
            <w:fldChar w:fldCharType="separate"/>
          </w:r>
          <w:r>
            <w:t>4</w:t>
          </w:r>
          <w:r>
            <w:fldChar w:fldCharType="end"/>
          </w: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end"/>
          </w:r>
        </w:p>
        <w:p w14:paraId="511A33EC">
          <w:pPr>
            <w:pStyle w:val="13"/>
            <w:tabs>
              <w:tab w:val="right" w:leader="dot" w:pos="9062"/>
            </w:tabs>
          </w:pP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_Toc11259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hint="eastAsia" w:ascii="Times New Roman" w:hAnsi="Times New Roman" w:cs="Times New Roman"/>
              <w:szCs w:val="40"/>
              <w:highlight w:val="none"/>
            </w:rPr>
            <w:t>第</w:t>
          </w:r>
          <w:r>
            <w:rPr>
              <w:rFonts w:hint="eastAsia" w:ascii="Times New Roman" w:hAnsi="Times New Roman" w:cs="Times New Roman"/>
              <w:szCs w:val="40"/>
              <w:highlight w:val="none"/>
              <w:lang w:val="en-US" w:eastAsia="zh-CN"/>
            </w:rPr>
            <w:t>三</w:t>
          </w:r>
          <w:r>
            <w:rPr>
              <w:rFonts w:hint="eastAsia" w:ascii="Times New Roman" w:hAnsi="Times New Roman" w:cs="Times New Roman"/>
              <w:szCs w:val="40"/>
              <w:highlight w:val="none"/>
            </w:rPr>
            <w:t>章 投标人须知</w:t>
          </w:r>
          <w:r>
            <w:tab/>
          </w:r>
          <w:r>
            <w:fldChar w:fldCharType="begin"/>
          </w:r>
          <w:r>
            <w:instrText xml:space="preserve"> PAGEREF _Toc11259 \h </w:instrText>
          </w:r>
          <w:r>
            <w:fldChar w:fldCharType="separate"/>
          </w:r>
          <w:r>
            <w:t>8</w:t>
          </w:r>
          <w:r>
            <w:fldChar w:fldCharType="end"/>
          </w: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end"/>
          </w:r>
        </w:p>
        <w:p w14:paraId="674F7F3C">
          <w:pPr>
            <w:pStyle w:val="13"/>
            <w:tabs>
              <w:tab w:val="right" w:leader="dot" w:pos="9062"/>
            </w:tabs>
          </w:pP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_Toc16112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ascii="黑体" w:hAnsi="黑体" w:eastAsia="黑体" w:cs="黑体"/>
              <w:bCs/>
              <w:spacing w:val="-3"/>
              <w:szCs w:val="28"/>
              <w:highlight w:val="none"/>
            </w:rPr>
            <w:t>第四章 评标定标办法（</w:t>
          </w:r>
          <w:r>
            <w:rPr>
              <w:rFonts w:ascii="黑体" w:hAnsi="黑体" w:eastAsia="黑体" w:cs="黑体"/>
              <w:bCs/>
              <w:spacing w:val="-3"/>
              <w:szCs w:val="28"/>
              <w:highlight w:val="none"/>
              <w:lang w:val="en-US" w:eastAsia="zh-CN"/>
            </w:rPr>
            <w:t>简易评标法</w:t>
          </w:r>
          <w:r>
            <w:rPr>
              <w:rFonts w:ascii="黑体" w:hAnsi="黑体" w:eastAsia="黑体" w:cs="黑体"/>
              <w:bCs/>
              <w:spacing w:val="-3"/>
              <w:szCs w:val="28"/>
              <w:highlight w:val="none"/>
            </w:rPr>
            <w:t>）</w:t>
          </w:r>
          <w:r>
            <w:tab/>
          </w:r>
          <w:r>
            <w:fldChar w:fldCharType="begin"/>
          </w:r>
          <w:r>
            <w:instrText xml:space="preserve"> PAGEREF _Toc16112 \h </w:instrText>
          </w:r>
          <w:r>
            <w:fldChar w:fldCharType="separate"/>
          </w:r>
          <w:r>
            <w:t>29</w:t>
          </w:r>
          <w:r>
            <w:fldChar w:fldCharType="end"/>
          </w: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end"/>
          </w:r>
        </w:p>
        <w:p w14:paraId="5B9FD685">
          <w:pPr>
            <w:pStyle w:val="13"/>
            <w:tabs>
              <w:tab w:val="right" w:leader="dot" w:pos="9062"/>
            </w:tabs>
          </w:pP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_Toc1124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ascii="黑体" w:hAnsi="黑体" w:eastAsia="黑体" w:cs="黑体"/>
              <w:bCs/>
              <w:spacing w:val="-3"/>
              <w:szCs w:val="28"/>
              <w:highlight w:val="none"/>
            </w:rPr>
            <w:t>第五章</w:t>
          </w:r>
          <w:r>
            <w:rPr>
              <w:rFonts w:ascii="黑体" w:hAnsi="黑体" w:eastAsia="黑体" w:cs="黑体"/>
              <w:spacing w:val="-3"/>
              <w:szCs w:val="28"/>
              <w:highlight w:val="none"/>
            </w:rPr>
            <w:t xml:space="preserve"> </w:t>
          </w:r>
          <w:r>
            <w:rPr>
              <w:rFonts w:ascii="黑体" w:hAnsi="黑体" w:eastAsia="黑体" w:cs="黑体"/>
              <w:bCs/>
              <w:spacing w:val="-3"/>
              <w:szCs w:val="28"/>
              <w:highlight w:val="none"/>
            </w:rPr>
            <w:t>合同条款及格式</w:t>
          </w:r>
          <w:r>
            <w:tab/>
          </w:r>
          <w:r>
            <w:fldChar w:fldCharType="begin"/>
          </w:r>
          <w:r>
            <w:instrText xml:space="preserve"> PAGEREF _Toc1124 \h </w:instrText>
          </w:r>
          <w:r>
            <w:fldChar w:fldCharType="separate"/>
          </w:r>
          <w:r>
            <w:t>35</w:t>
          </w:r>
          <w:r>
            <w:fldChar w:fldCharType="end"/>
          </w: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end"/>
          </w:r>
        </w:p>
        <w:p w14:paraId="6B6D4C9D">
          <w:pPr>
            <w:pStyle w:val="13"/>
            <w:tabs>
              <w:tab w:val="right" w:leader="dot" w:pos="9062"/>
            </w:tabs>
          </w:pP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_Toc14336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ascii="黑体" w:hAnsi="黑体" w:eastAsia="黑体" w:cs="黑体"/>
              <w:bCs/>
              <w:spacing w:val="6"/>
              <w:szCs w:val="31"/>
              <w:highlight w:val="none"/>
            </w:rPr>
            <w:t>第</w:t>
          </w:r>
          <w:r>
            <w:rPr>
              <w:rFonts w:hint="eastAsia" w:ascii="黑体" w:hAnsi="黑体" w:eastAsia="黑体" w:cs="黑体"/>
              <w:bCs/>
              <w:spacing w:val="6"/>
              <w:szCs w:val="31"/>
              <w:highlight w:val="none"/>
              <w:lang w:val="en-US" w:eastAsia="zh-CN"/>
            </w:rPr>
            <w:t>六</w:t>
          </w:r>
          <w:r>
            <w:rPr>
              <w:rFonts w:ascii="黑体" w:hAnsi="黑体" w:eastAsia="黑体" w:cs="黑体"/>
              <w:bCs/>
              <w:spacing w:val="6"/>
              <w:szCs w:val="31"/>
              <w:highlight w:val="none"/>
            </w:rPr>
            <w:t>章</w:t>
          </w:r>
          <w:r>
            <w:rPr>
              <w:rFonts w:ascii="黑体" w:hAnsi="黑体" w:eastAsia="黑体" w:cs="黑体"/>
              <w:spacing w:val="6"/>
              <w:szCs w:val="31"/>
              <w:highlight w:val="none"/>
            </w:rPr>
            <w:t xml:space="preserve"> </w:t>
          </w:r>
          <w:r>
            <w:rPr>
              <w:rFonts w:ascii="黑体" w:hAnsi="黑体" w:eastAsia="黑体" w:cs="黑体"/>
              <w:bCs/>
              <w:spacing w:val="6"/>
              <w:szCs w:val="31"/>
              <w:highlight w:val="none"/>
            </w:rPr>
            <w:t>投标文件格式</w:t>
          </w:r>
          <w:r>
            <w:tab/>
          </w:r>
          <w:r>
            <w:fldChar w:fldCharType="begin"/>
          </w:r>
          <w:r>
            <w:instrText xml:space="preserve"> PAGEREF _Toc14336 \h </w:instrText>
          </w:r>
          <w:r>
            <w:fldChar w:fldCharType="separate"/>
          </w:r>
          <w:r>
            <w:t>52</w:t>
          </w:r>
          <w:r>
            <w:fldChar w:fldCharType="end"/>
          </w: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end"/>
          </w:r>
        </w:p>
        <w:p w14:paraId="38EFFA80">
          <w:pPr>
            <w:pStyle w:val="13"/>
            <w:tabs>
              <w:tab w:val="right" w:leader="dot" w:pos="9062"/>
            </w:tabs>
          </w:pP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_Toc21622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hint="eastAsia" w:ascii="Cambria" w:hAnsi="Cambria"/>
              <w:bCs/>
              <w:szCs w:val="32"/>
              <w:highlight w:val="none"/>
            </w:rPr>
            <w:t>第</w:t>
          </w:r>
          <w:r>
            <w:rPr>
              <w:rFonts w:hint="eastAsia" w:ascii="Cambria" w:hAnsi="Cambria" w:eastAsia="宋体"/>
              <w:bCs/>
              <w:szCs w:val="32"/>
              <w:highlight w:val="none"/>
              <w:lang w:val="en-US" w:eastAsia="zh-CN"/>
            </w:rPr>
            <w:t>一</w:t>
          </w:r>
          <w:r>
            <w:rPr>
              <w:rFonts w:hint="eastAsia" w:ascii="Cambria" w:hAnsi="Cambria"/>
              <w:bCs/>
              <w:szCs w:val="32"/>
              <w:highlight w:val="none"/>
            </w:rPr>
            <w:t>节 资格审查资料</w:t>
          </w:r>
          <w:r>
            <w:tab/>
          </w:r>
          <w:r>
            <w:fldChar w:fldCharType="begin"/>
          </w:r>
          <w:r>
            <w:instrText xml:space="preserve"> PAGEREF _Toc21622 \h </w:instrText>
          </w:r>
          <w:r>
            <w:fldChar w:fldCharType="separate"/>
          </w:r>
          <w:r>
            <w:t>53</w:t>
          </w:r>
          <w:r>
            <w:fldChar w:fldCharType="end"/>
          </w: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end"/>
          </w:r>
        </w:p>
        <w:p w14:paraId="33C3A8E6">
          <w:pPr>
            <w:pStyle w:val="10"/>
            <w:pageBreakBefore w:val="0"/>
            <w:overflowPunct/>
            <w:bidi w:val="0"/>
            <w:spacing w:line="249" w:lineRule="auto"/>
            <w:ind w:right="0"/>
            <w:rPr>
              <w:rFonts w:ascii="Arial" w:hAnsi="Arial" w:eastAsia="Arial" w:cs="Arial"/>
              <w:snapToGrid w:val="0"/>
              <w:color w:val="auto"/>
              <w:kern w:val="0"/>
              <w:sz w:val="21"/>
              <w:szCs w:val="21"/>
              <w:highlight w:val="none"/>
              <w:lang w:val="en-US" w:eastAsia="en-US" w:bidi="ar-SA"/>
            </w:rPr>
          </w:pPr>
          <w:r>
            <w:rPr>
              <w:rFonts w:hint="eastAsia" w:asciiTheme="minorEastAsia" w:hAnsiTheme="minorEastAsia" w:eastAsiaTheme="minorEastAsia" w:cstheme="minorEastAsia"/>
              <w:bCs w:val="0"/>
              <w:snapToGrid w:val="0"/>
              <w:color w:val="auto"/>
              <w:kern w:val="0"/>
              <w:szCs w:val="28"/>
              <w:highlight w:val="none"/>
              <w:lang w:val="en-US" w:eastAsia="en-US" w:bidi="ar-SA"/>
            </w:rPr>
            <w:fldChar w:fldCharType="end"/>
          </w:r>
        </w:p>
      </w:sdtContent>
    </w:sdt>
    <w:p w14:paraId="6A991B43">
      <w:pPr>
        <w:pStyle w:val="10"/>
        <w:pageBreakBefore w:val="0"/>
        <w:overflowPunct/>
        <w:bidi w:val="0"/>
        <w:spacing w:line="249" w:lineRule="auto"/>
        <w:ind w:right="0"/>
        <w:rPr>
          <w:rFonts w:ascii="Arial" w:hAnsi="Arial" w:eastAsia="Arial" w:cs="Arial"/>
          <w:snapToGrid w:val="0"/>
          <w:color w:val="auto"/>
          <w:kern w:val="0"/>
          <w:sz w:val="21"/>
          <w:szCs w:val="21"/>
          <w:highlight w:val="none"/>
          <w:lang w:val="en-US" w:eastAsia="en-US" w:bidi="ar-SA"/>
        </w:rPr>
      </w:pPr>
    </w:p>
    <w:p w14:paraId="69B63B0A">
      <w:pPr>
        <w:pageBreakBefore w:val="0"/>
        <w:overflowPunct/>
        <w:bidi w:val="0"/>
        <w:spacing w:line="2064" w:lineRule="exact"/>
        <w:ind w:right="0" w:firstLine="10227"/>
        <w:rPr>
          <w:color w:val="auto"/>
          <w:highlight w:val="none"/>
        </w:rPr>
      </w:pPr>
    </w:p>
    <w:p w14:paraId="608DFD70">
      <w:pPr>
        <w:pageBreakBefore w:val="0"/>
        <w:overflowPunct/>
        <w:bidi w:val="0"/>
        <w:spacing w:line="2064" w:lineRule="exact"/>
        <w:ind w:right="0"/>
        <w:rPr>
          <w:color w:val="auto"/>
          <w:highlight w:val="none"/>
        </w:rPr>
        <w:sectPr>
          <w:footerReference r:id="rId5" w:type="default"/>
          <w:pgSz w:w="11906" w:h="16839"/>
          <w:pgMar w:top="1417" w:right="1417" w:bottom="1417" w:left="1427" w:header="567" w:footer="567" w:gutter="0"/>
          <w:pgNumType w:start="1"/>
          <w:cols w:space="720" w:num="1"/>
        </w:sectPr>
      </w:pPr>
    </w:p>
    <w:p w14:paraId="37703494">
      <w:pPr>
        <w:pageBreakBefore w:val="0"/>
        <w:overflowPunct/>
        <w:bidi w:val="0"/>
        <w:spacing w:before="64" w:line="227" w:lineRule="auto"/>
        <w:ind w:left="2672" w:right="0"/>
        <w:outlineLvl w:val="0"/>
        <w:rPr>
          <w:rFonts w:ascii="黑体" w:hAnsi="黑体" w:eastAsia="黑体" w:cs="黑体"/>
          <w:color w:val="auto"/>
          <w:sz w:val="31"/>
          <w:szCs w:val="31"/>
          <w:highlight w:val="none"/>
        </w:rPr>
      </w:pPr>
      <w:bookmarkStart w:id="5" w:name="bookmark2"/>
      <w:bookmarkEnd w:id="5"/>
      <w:bookmarkStart w:id="6" w:name="_Toc13746"/>
      <w:bookmarkStart w:id="7" w:name="_Toc29999"/>
      <w:bookmarkStart w:id="8" w:name="_Toc31133"/>
      <w:bookmarkStart w:id="9" w:name="_Toc11334"/>
      <w:r>
        <w:rPr>
          <w:rFonts w:ascii="黑体" w:hAnsi="黑体" w:eastAsia="黑体" w:cs="黑体"/>
          <w:b/>
          <w:bCs/>
          <w:color w:val="auto"/>
          <w:spacing w:val="6"/>
          <w:sz w:val="31"/>
          <w:szCs w:val="31"/>
          <w:highlight w:val="none"/>
        </w:rPr>
        <w:t>第一章</w:t>
      </w:r>
      <w:r>
        <w:rPr>
          <w:rFonts w:ascii="黑体" w:hAnsi="黑体" w:eastAsia="黑体" w:cs="黑体"/>
          <w:color w:val="auto"/>
          <w:spacing w:val="6"/>
          <w:sz w:val="31"/>
          <w:szCs w:val="31"/>
          <w:highlight w:val="none"/>
        </w:rPr>
        <w:t xml:space="preserve"> </w:t>
      </w:r>
      <w:r>
        <w:rPr>
          <w:rFonts w:ascii="黑体" w:hAnsi="黑体" w:eastAsia="黑体" w:cs="黑体"/>
          <w:b/>
          <w:bCs/>
          <w:color w:val="auto"/>
          <w:spacing w:val="6"/>
          <w:sz w:val="31"/>
          <w:szCs w:val="31"/>
          <w:highlight w:val="none"/>
        </w:rPr>
        <w:t>投标文件否决性条款摘要</w:t>
      </w:r>
      <w:bookmarkEnd w:id="6"/>
      <w:bookmarkEnd w:id="7"/>
      <w:bookmarkEnd w:id="8"/>
      <w:bookmarkEnd w:id="9"/>
    </w:p>
    <w:p w14:paraId="4E9E1509">
      <w:pPr>
        <w:pStyle w:val="10"/>
        <w:pageBreakBefore w:val="0"/>
        <w:overflowPunct/>
        <w:bidi w:val="0"/>
        <w:spacing w:line="402" w:lineRule="auto"/>
        <w:ind w:right="0"/>
        <w:rPr>
          <w:color w:val="auto"/>
          <w:highlight w:val="none"/>
        </w:rPr>
      </w:pPr>
    </w:p>
    <w:p w14:paraId="2B063115">
      <w:pPr>
        <w:keepNext w:val="0"/>
        <w:keepLines w:val="0"/>
        <w:pageBreakBefore w:val="0"/>
        <w:widowControl/>
        <w:kinsoku w:val="0"/>
        <w:wordWrap/>
        <w:overflowPunct/>
        <w:topLinePunct w:val="0"/>
        <w:autoSpaceDE w:val="0"/>
        <w:autoSpaceDN w:val="0"/>
        <w:bidi w:val="0"/>
        <w:adjustRightInd w:val="0"/>
        <w:snapToGrid w:val="0"/>
        <w:spacing w:before="78" w:line="288" w:lineRule="auto"/>
        <w:ind w:left="3" w:right="0" w:firstLine="416"/>
        <w:jc w:val="both"/>
        <w:textAlignment w:val="baseline"/>
        <w:rPr>
          <w:rFonts w:ascii="宋体" w:hAnsi="宋体" w:eastAsia="宋体" w:cs="宋体"/>
          <w:color w:val="auto"/>
          <w:sz w:val="24"/>
          <w:szCs w:val="24"/>
          <w:highlight w:val="none"/>
        </w:rPr>
      </w:pPr>
      <w:r>
        <w:rPr>
          <w:rFonts w:ascii="宋体" w:hAnsi="宋体" w:eastAsia="宋体" w:cs="宋体"/>
          <w:b/>
          <w:bCs/>
          <w:color w:val="auto"/>
          <w:spacing w:val="-1"/>
          <w:sz w:val="20"/>
          <w:szCs w:val="20"/>
          <w:highlight w:val="none"/>
        </w:rPr>
        <w:t>重要提示：</w:t>
      </w:r>
      <w:r>
        <w:rPr>
          <w:rFonts w:ascii="宋体" w:hAnsi="宋体" w:eastAsia="宋体" w:cs="宋体"/>
          <w:color w:val="auto"/>
          <w:spacing w:val="-1"/>
          <w:sz w:val="24"/>
          <w:szCs w:val="24"/>
          <w:highlight w:val="none"/>
        </w:rPr>
        <w:t>本摘要是本招标文件(含招标文件的澄清（答疑）、修</w:t>
      </w:r>
      <w:r>
        <w:rPr>
          <w:rFonts w:ascii="宋体" w:hAnsi="宋体" w:eastAsia="宋体" w:cs="宋体"/>
          <w:color w:val="auto"/>
          <w:spacing w:val="-2"/>
          <w:sz w:val="24"/>
          <w:szCs w:val="24"/>
          <w:highlight w:val="none"/>
        </w:rPr>
        <w:t>改、补充文件等)中涉及的所有否决性条款的集中载明，包括：招标文件规定的在开标会上当场宣布投标文件不予受</w:t>
      </w:r>
      <w:r>
        <w:rPr>
          <w:rFonts w:ascii="宋体" w:hAnsi="宋体" w:eastAsia="宋体" w:cs="宋体"/>
          <w:color w:val="auto"/>
          <w:spacing w:val="-6"/>
          <w:sz w:val="24"/>
          <w:szCs w:val="24"/>
          <w:highlight w:val="none"/>
        </w:rPr>
        <w:t>理或为无效投标的情形，初步评审、详细评审阶段</w:t>
      </w:r>
      <w:r>
        <w:rPr>
          <w:rFonts w:ascii="宋体" w:hAnsi="宋体" w:eastAsia="宋体" w:cs="宋体"/>
          <w:color w:val="auto"/>
          <w:spacing w:val="-7"/>
          <w:sz w:val="24"/>
          <w:szCs w:val="24"/>
          <w:highlight w:val="none"/>
        </w:rPr>
        <w:t>发现重大偏差的情形。</w:t>
      </w:r>
      <w:r>
        <w:rPr>
          <w:rFonts w:ascii="宋体" w:hAnsi="宋体" w:eastAsia="宋体" w:cs="宋体"/>
          <w:b/>
          <w:bCs/>
          <w:color w:val="auto"/>
          <w:spacing w:val="-7"/>
          <w:sz w:val="24"/>
          <w:szCs w:val="24"/>
          <w:highlight w:val="none"/>
        </w:rPr>
        <w:t>除出现以下情形外，</w:t>
      </w:r>
      <w:r>
        <w:rPr>
          <w:rFonts w:ascii="宋体" w:hAnsi="宋体" w:eastAsia="宋体" w:cs="宋体"/>
          <w:b/>
          <w:bCs/>
          <w:color w:val="auto"/>
          <w:spacing w:val="-4"/>
          <w:sz w:val="24"/>
          <w:szCs w:val="24"/>
          <w:highlight w:val="none"/>
        </w:rPr>
        <w:t>投标文件的其他任何情形均不得作否决处理。招标文件中有关否决性条款的</w:t>
      </w:r>
      <w:r>
        <w:rPr>
          <w:rFonts w:ascii="宋体" w:hAnsi="宋体" w:eastAsia="宋体" w:cs="宋体"/>
          <w:b/>
          <w:bCs/>
          <w:color w:val="auto"/>
          <w:spacing w:val="-5"/>
          <w:sz w:val="24"/>
          <w:szCs w:val="24"/>
          <w:highlight w:val="none"/>
        </w:rPr>
        <w:t>阐述与本摘要所</w:t>
      </w:r>
      <w:r>
        <w:rPr>
          <w:rFonts w:ascii="宋体" w:hAnsi="宋体" w:eastAsia="宋体" w:cs="宋体"/>
          <w:b/>
          <w:bCs/>
          <w:color w:val="auto"/>
          <w:spacing w:val="-3"/>
          <w:sz w:val="24"/>
          <w:szCs w:val="24"/>
          <w:highlight w:val="none"/>
        </w:rPr>
        <w:t>列内容不一致的，以本摘要载明的内容为准</w:t>
      </w:r>
      <w:r>
        <w:rPr>
          <w:rFonts w:ascii="宋体" w:hAnsi="宋体" w:eastAsia="宋体" w:cs="宋体"/>
          <w:color w:val="auto"/>
          <w:spacing w:val="-3"/>
          <w:sz w:val="24"/>
          <w:szCs w:val="24"/>
          <w:highlight w:val="none"/>
        </w:rPr>
        <w:t>。</w:t>
      </w:r>
    </w:p>
    <w:p w14:paraId="68CECCB1">
      <w:pPr>
        <w:keepNext w:val="0"/>
        <w:keepLines w:val="0"/>
        <w:pageBreakBefore w:val="0"/>
        <w:widowControl/>
        <w:kinsoku w:val="0"/>
        <w:wordWrap/>
        <w:overflowPunct/>
        <w:topLinePunct w:val="0"/>
        <w:autoSpaceDE w:val="0"/>
        <w:autoSpaceDN w:val="0"/>
        <w:bidi w:val="0"/>
        <w:adjustRightInd w:val="0"/>
        <w:snapToGrid w:val="0"/>
        <w:spacing w:line="288" w:lineRule="auto"/>
        <w:ind w:left="23" w:right="0" w:firstLine="458"/>
        <w:textAlignment w:val="baseline"/>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招标人通过补充招标文件增加、删除、修改否决投标条款的，应当在补充</w:t>
      </w:r>
      <w:r>
        <w:rPr>
          <w:rFonts w:ascii="宋体" w:hAnsi="宋体" w:eastAsia="宋体" w:cs="宋体"/>
          <w:b/>
          <w:bCs/>
          <w:color w:val="auto"/>
          <w:spacing w:val="-5"/>
          <w:sz w:val="24"/>
          <w:szCs w:val="24"/>
          <w:highlight w:val="none"/>
        </w:rPr>
        <w:t>招标文件中集</w:t>
      </w:r>
      <w:r>
        <w:rPr>
          <w:rFonts w:ascii="宋体" w:hAnsi="宋体" w:eastAsia="宋体" w:cs="宋体"/>
          <w:b/>
          <w:bCs/>
          <w:color w:val="auto"/>
          <w:spacing w:val="-4"/>
          <w:sz w:val="24"/>
          <w:szCs w:val="24"/>
          <w:highlight w:val="none"/>
        </w:rPr>
        <w:t>中载明调整后完整的否决投标条款。</w:t>
      </w:r>
    </w:p>
    <w:p w14:paraId="080A7D16">
      <w:pPr>
        <w:keepNext w:val="0"/>
        <w:keepLines w:val="0"/>
        <w:pageBreakBefore w:val="0"/>
        <w:widowControl/>
        <w:kinsoku w:val="0"/>
        <w:wordWrap/>
        <w:overflowPunct/>
        <w:topLinePunct w:val="0"/>
        <w:autoSpaceDE w:val="0"/>
        <w:autoSpaceDN w:val="0"/>
        <w:bidi w:val="0"/>
        <w:adjustRightInd w:val="0"/>
        <w:snapToGrid w:val="0"/>
        <w:spacing w:before="1" w:line="288" w:lineRule="auto"/>
        <w:ind w:left="1" w:right="0" w:firstLine="482"/>
        <w:textAlignment w:val="baseline"/>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一、</w:t>
      </w:r>
      <w:r>
        <w:rPr>
          <w:rFonts w:ascii="宋体" w:hAnsi="宋体" w:eastAsia="宋体" w:cs="宋体"/>
          <w:color w:val="auto"/>
          <w:spacing w:val="-2"/>
          <w:sz w:val="24"/>
          <w:szCs w:val="24"/>
          <w:highlight w:val="none"/>
        </w:rPr>
        <w:t>招标人应派代表参加开标会，并负责在开标会上判定投标文件不予受理或为无效投</w:t>
      </w:r>
      <w:r>
        <w:rPr>
          <w:rFonts w:ascii="宋体" w:hAnsi="宋体" w:eastAsia="宋体" w:cs="宋体"/>
          <w:color w:val="auto"/>
          <w:spacing w:val="-3"/>
          <w:sz w:val="24"/>
          <w:szCs w:val="24"/>
          <w:highlight w:val="none"/>
        </w:rPr>
        <w:t>标的情形。</w:t>
      </w:r>
    </w:p>
    <w:p w14:paraId="39839851">
      <w:pPr>
        <w:keepNext w:val="0"/>
        <w:keepLines w:val="0"/>
        <w:pageBreakBefore w:val="0"/>
        <w:widowControl/>
        <w:kinsoku w:val="0"/>
        <w:wordWrap/>
        <w:overflowPunct/>
        <w:topLinePunct w:val="0"/>
        <w:autoSpaceDE w:val="0"/>
        <w:autoSpaceDN w:val="0"/>
        <w:bidi w:val="0"/>
        <w:adjustRightInd w:val="0"/>
        <w:snapToGrid w:val="0"/>
        <w:spacing w:before="4" w:line="288" w:lineRule="auto"/>
        <w:ind w:right="0" w:firstLine="480"/>
        <w:jc w:val="both"/>
        <w:textAlignment w:val="baseline"/>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评标委员会应将在初步评审阶段和详细评审阶段发现的投标文件中的重大偏差</w:t>
      </w:r>
      <w:r>
        <w:rPr>
          <w:rFonts w:ascii="宋体" w:hAnsi="宋体" w:eastAsia="宋体" w:cs="宋体"/>
          <w:color w:val="auto"/>
          <w:spacing w:val="4"/>
          <w:sz w:val="24"/>
          <w:szCs w:val="24"/>
          <w:highlight w:val="none"/>
        </w:rPr>
        <w:t>情况列</w:t>
      </w:r>
      <w:r>
        <w:rPr>
          <w:rFonts w:ascii="宋体" w:hAnsi="宋体" w:eastAsia="宋体" w:cs="宋体"/>
          <w:color w:val="auto"/>
          <w:spacing w:val="-2"/>
          <w:sz w:val="24"/>
          <w:szCs w:val="24"/>
          <w:highlight w:val="none"/>
        </w:rPr>
        <w:t>入评标报告中的“否决投标情况说明</w:t>
      </w:r>
      <w:r>
        <w:rPr>
          <w:rFonts w:ascii="宋体" w:hAnsi="宋体" w:eastAsia="宋体" w:cs="宋体"/>
          <w:color w:val="auto"/>
          <w:spacing w:val="-88"/>
          <w:sz w:val="24"/>
          <w:szCs w:val="24"/>
          <w:highlight w:val="none"/>
        </w:rPr>
        <w:t xml:space="preserve"> </w:t>
      </w:r>
      <w:r>
        <w:rPr>
          <w:rFonts w:ascii="宋体" w:hAnsi="宋体" w:eastAsia="宋体" w:cs="宋体"/>
          <w:color w:val="auto"/>
          <w:spacing w:val="-2"/>
          <w:sz w:val="24"/>
          <w:szCs w:val="24"/>
          <w:highlight w:val="none"/>
        </w:rPr>
        <w:t>”，对该投标文件作否决处</w:t>
      </w:r>
      <w:r>
        <w:rPr>
          <w:rFonts w:ascii="宋体" w:hAnsi="宋体" w:eastAsia="宋体" w:cs="宋体"/>
          <w:color w:val="auto"/>
          <w:spacing w:val="-3"/>
          <w:sz w:val="24"/>
          <w:szCs w:val="24"/>
          <w:highlight w:val="none"/>
        </w:rPr>
        <w:t>理；对于发现的投标文件格</w:t>
      </w:r>
      <w:r>
        <w:rPr>
          <w:rFonts w:ascii="宋体" w:hAnsi="宋体" w:eastAsia="宋体" w:cs="宋体"/>
          <w:color w:val="auto"/>
          <w:spacing w:val="-1"/>
          <w:sz w:val="24"/>
          <w:szCs w:val="24"/>
          <w:highlight w:val="none"/>
        </w:rPr>
        <w:t>式（技术标暗标除外）等其他偏差情况应列入</w:t>
      </w:r>
      <w:r>
        <w:rPr>
          <w:rFonts w:ascii="宋体" w:hAnsi="宋体" w:eastAsia="宋体" w:cs="宋体"/>
          <w:color w:val="auto"/>
          <w:spacing w:val="-2"/>
          <w:sz w:val="24"/>
          <w:szCs w:val="24"/>
          <w:highlight w:val="none"/>
        </w:rPr>
        <w:t>细微偏差，向招标人提出相关意见和建议，但</w:t>
      </w:r>
      <w:r>
        <w:rPr>
          <w:rFonts w:ascii="宋体" w:hAnsi="宋体" w:eastAsia="宋体" w:cs="宋体"/>
          <w:color w:val="auto"/>
          <w:spacing w:val="-1"/>
          <w:sz w:val="24"/>
          <w:szCs w:val="24"/>
          <w:highlight w:val="none"/>
        </w:rPr>
        <w:t>不得对该投标作否决处理。</w:t>
      </w:r>
    </w:p>
    <w:p w14:paraId="07ABACF8">
      <w:pPr>
        <w:keepNext w:val="0"/>
        <w:keepLines w:val="0"/>
        <w:pageBreakBefore w:val="0"/>
        <w:widowControl/>
        <w:kinsoku w:val="0"/>
        <w:wordWrap/>
        <w:overflowPunct/>
        <w:topLinePunct w:val="0"/>
        <w:autoSpaceDE w:val="0"/>
        <w:autoSpaceDN w:val="0"/>
        <w:bidi w:val="0"/>
        <w:adjustRightInd w:val="0"/>
        <w:snapToGrid w:val="0"/>
        <w:spacing w:before="1" w:line="288" w:lineRule="auto"/>
        <w:ind w:left="498" w:right="0"/>
        <w:textAlignment w:val="baseline"/>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1.在开标会上，判定投标文件不予受理或为</w:t>
      </w:r>
      <w:r>
        <w:rPr>
          <w:rFonts w:ascii="宋体" w:hAnsi="宋体" w:eastAsia="宋体" w:cs="宋体"/>
          <w:b/>
          <w:bCs/>
          <w:color w:val="auto"/>
          <w:spacing w:val="-3"/>
          <w:sz w:val="24"/>
          <w:szCs w:val="24"/>
          <w:highlight w:val="none"/>
        </w:rPr>
        <w:t>无效投标的情形（由招标人负责判定）：</w:t>
      </w:r>
    </w:p>
    <w:p w14:paraId="5FFA18F6">
      <w:pPr>
        <w:keepNext w:val="0"/>
        <w:keepLines w:val="0"/>
        <w:pageBreakBefore w:val="0"/>
        <w:widowControl/>
        <w:kinsoku w:val="0"/>
        <w:wordWrap/>
        <w:overflowPunct/>
        <w:topLinePunct w:val="0"/>
        <w:autoSpaceDE w:val="0"/>
        <w:autoSpaceDN w:val="0"/>
        <w:bidi w:val="0"/>
        <w:adjustRightInd w:val="0"/>
        <w:snapToGrid w:val="0"/>
        <w:spacing w:before="115" w:line="288" w:lineRule="auto"/>
        <w:ind w:left="498" w:right="0"/>
        <w:textAlignment w:val="baseline"/>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1.1</w:t>
      </w:r>
      <w:r>
        <w:rPr>
          <w:rFonts w:ascii="宋体" w:hAnsi="宋体" w:eastAsia="宋体" w:cs="宋体"/>
          <w:color w:val="auto"/>
          <w:spacing w:val="-38"/>
          <w:sz w:val="24"/>
          <w:szCs w:val="24"/>
          <w:highlight w:val="none"/>
        </w:rPr>
        <w:t xml:space="preserve"> </w:t>
      </w:r>
      <w:r>
        <w:rPr>
          <w:rFonts w:ascii="宋体" w:hAnsi="宋体" w:eastAsia="宋体" w:cs="宋体"/>
          <w:color w:val="auto"/>
          <w:spacing w:val="-3"/>
          <w:sz w:val="24"/>
          <w:szCs w:val="24"/>
          <w:highlight w:val="none"/>
        </w:rPr>
        <w:t>判定投标文件不予受理的情形：</w:t>
      </w:r>
    </w:p>
    <w:p w14:paraId="6B984645">
      <w:pPr>
        <w:keepNext w:val="0"/>
        <w:keepLines w:val="0"/>
        <w:pageBreakBefore w:val="0"/>
        <w:widowControl/>
        <w:kinsoku w:val="0"/>
        <w:wordWrap/>
        <w:overflowPunct/>
        <w:topLinePunct w:val="0"/>
        <w:autoSpaceDE w:val="0"/>
        <w:autoSpaceDN w:val="0"/>
        <w:bidi w:val="0"/>
        <w:adjustRightInd w:val="0"/>
        <w:snapToGrid w:val="0"/>
        <w:spacing w:before="116" w:line="288" w:lineRule="auto"/>
        <w:ind w:left="498"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1.1.1</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投标文件在投标截止时间以后送</w:t>
      </w:r>
      <w:r>
        <w:rPr>
          <w:rFonts w:ascii="宋体" w:hAnsi="宋体" w:eastAsia="宋体" w:cs="宋体"/>
          <w:color w:val="auto"/>
          <w:spacing w:val="-2"/>
          <w:sz w:val="24"/>
          <w:szCs w:val="24"/>
          <w:highlight w:val="none"/>
        </w:rPr>
        <w:t>达或者未送达指定地点；</w:t>
      </w:r>
    </w:p>
    <w:p w14:paraId="67EBDCB8">
      <w:pPr>
        <w:keepNext w:val="0"/>
        <w:keepLines w:val="0"/>
        <w:pageBreakBefore w:val="0"/>
        <w:widowControl/>
        <w:kinsoku w:val="0"/>
        <w:wordWrap/>
        <w:overflowPunct/>
        <w:topLinePunct w:val="0"/>
        <w:autoSpaceDE w:val="0"/>
        <w:autoSpaceDN w:val="0"/>
        <w:bidi w:val="0"/>
        <w:adjustRightInd w:val="0"/>
        <w:snapToGrid w:val="0"/>
        <w:spacing w:before="116" w:line="288" w:lineRule="auto"/>
        <w:ind w:right="0" w:firstLine="497"/>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1.1.2</w:t>
      </w:r>
      <w:r>
        <w:rPr>
          <w:rFonts w:ascii="宋体" w:hAnsi="宋体" w:eastAsia="宋体" w:cs="宋体"/>
          <w:color w:val="auto"/>
          <w:spacing w:val="-39"/>
          <w:sz w:val="24"/>
          <w:szCs w:val="24"/>
          <w:highlight w:val="none"/>
        </w:rPr>
        <w:t xml:space="preserve"> </w:t>
      </w:r>
      <w:r>
        <w:rPr>
          <w:rFonts w:ascii="宋体" w:hAnsi="宋体" w:eastAsia="宋体" w:cs="宋体"/>
          <w:color w:val="auto"/>
          <w:spacing w:val="-1"/>
          <w:sz w:val="24"/>
          <w:szCs w:val="24"/>
          <w:highlight w:val="none"/>
        </w:rPr>
        <w:t>投标人授权代理人未按招标文件要求到场递交投标文件或未能按招标文件要求提</w:t>
      </w:r>
      <w:r>
        <w:rPr>
          <w:rFonts w:ascii="宋体" w:hAnsi="宋体" w:eastAsia="宋体" w:cs="宋体"/>
          <w:color w:val="auto"/>
          <w:spacing w:val="-2"/>
          <w:sz w:val="24"/>
          <w:szCs w:val="24"/>
          <w:highlight w:val="none"/>
        </w:rPr>
        <w:t>供身份证明文件的；</w:t>
      </w:r>
    </w:p>
    <w:p w14:paraId="6CF8BE79">
      <w:pPr>
        <w:keepNext w:val="0"/>
        <w:keepLines w:val="0"/>
        <w:pageBreakBefore w:val="0"/>
        <w:widowControl/>
        <w:kinsoku w:val="0"/>
        <w:wordWrap/>
        <w:overflowPunct/>
        <w:topLinePunct w:val="0"/>
        <w:autoSpaceDE w:val="0"/>
        <w:autoSpaceDN w:val="0"/>
        <w:bidi w:val="0"/>
        <w:adjustRightInd w:val="0"/>
        <w:snapToGrid w:val="0"/>
        <w:spacing w:before="1" w:line="288" w:lineRule="auto"/>
        <w:ind w:left="1" w:right="0" w:firstLine="496"/>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1.1.3</w:t>
      </w:r>
      <w:r>
        <w:rPr>
          <w:rFonts w:ascii="宋体" w:hAnsi="宋体" w:eastAsia="宋体" w:cs="宋体"/>
          <w:color w:val="auto"/>
          <w:spacing w:val="-39"/>
          <w:sz w:val="24"/>
          <w:szCs w:val="24"/>
          <w:highlight w:val="none"/>
        </w:rPr>
        <w:t xml:space="preserve"> </w:t>
      </w:r>
      <w:r>
        <w:rPr>
          <w:rFonts w:ascii="宋体" w:hAnsi="宋体" w:eastAsia="宋体" w:cs="宋体"/>
          <w:color w:val="auto"/>
          <w:spacing w:val="-1"/>
          <w:sz w:val="24"/>
          <w:szCs w:val="24"/>
          <w:highlight w:val="none"/>
        </w:rPr>
        <w:t>投标文件未按要求密封、标记，或因错放或密封不牢靠而造成提前开封的，具体要求见本招标文件相应条款；</w:t>
      </w:r>
    </w:p>
    <w:p w14:paraId="1DF03CE4">
      <w:pPr>
        <w:keepNext w:val="0"/>
        <w:keepLines w:val="0"/>
        <w:pageBreakBefore w:val="0"/>
        <w:widowControl/>
        <w:kinsoku w:val="0"/>
        <w:wordWrap/>
        <w:overflowPunct/>
        <w:topLinePunct w:val="0"/>
        <w:autoSpaceDE w:val="0"/>
        <w:autoSpaceDN w:val="0"/>
        <w:bidi w:val="0"/>
        <w:adjustRightInd w:val="0"/>
        <w:snapToGrid w:val="0"/>
        <w:spacing w:before="1" w:line="288" w:lineRule="auto"/>
        <w:ind w:right="0" w:firstLine="498"/>
        <w:textAlignment w:val="baseline"/>
        <w:rPr>
          <w:rFonts w:ascii="宋体" w:hAnsi="宋体" w:eastAsia="宋体" w:cs="宋体"/>
          <w:color w:val="auto"/>
          <w:sz w:val="24"/>
          <w:szCs w:val="24"/>
          <w:highlight w:val="none"/>
        </w:rPr>
      </w:pPr>
      <w:r>
        <w:rPr>
          <w:rFonts w:ascii="宋体" w:hAnsi="宋体" w:eastAsia="宋体" w:cs="宋体"/>
          <w:color w:val="auto"/>
          <w:sz w:val="24"/>
          <w:szCs w:val="24"/>
          <w:highlight w:val="none"/>
        </w:rPr>
        <w:t>1.1.4</w:t>
      </w:r>
      <w:r>
        <w:rPr>
          <w:rFonts w:ascii="宋体" w:hAnsi="宋体" w:eastAsia="宋体" w:cs="宋体"/>
          <w:color w:val="auto"/>
          <w:spacing w:val="-36"/>
          <w:sz w:val="24"/>
          <w:szCs w:val="24"/>
          <w:highlight w:val="none"/>
        </w:rPr>
        <w:t xml:space="preserve"> </w:t>
      </w:r>
      <w:r>
        <w:rPr>
          <w:rFonts w:ascii="宋体" w:hAnsi="宋体" w:eastAsia="宋体" w:cs="宋体"/>
          <w:color w:val="auto"/>
          <w:sz w:val="24"/>
          <w:szCs w:val="24"/>
          <w:highlight w:val="none"/>
        </w:rPr>
        <w:t>在本招标项目历次招标时，无正当理由放弃中标或者在投标截止后撤销投标文</w:t>
      </w:r>
      <w:r>
        <w:rPr>
          <w:rFonts w:ascii="宋体" w:hAnsi="宋体" w:eastAsia="宋体" w:cs="宋体"/>
          <w:color w:val="auto"/>
          <w:spacing w:val="-1"/>
          <w:sz w:val="24"/>
          <w:szCs w:val="24"/>
          <w:highlight w:val="none"/>
        </w:rPr>
        <w:t>件，造成招标人重新招标的。</w:t>
      </w:r>
    </w:p>
    <w:p w14:paraId="6E78EAC8">
      <w:pPr>
        <w:keepNext w:val="0"/>
        <w:keepLines w:val="0"/>
        <w:pageBreakBefore w:val="0"/>
        <w:widowControl/>
        <w:kinsoku w:val="0"/>
        <w:wordWrap/>
        <w:overflowPunct/>
        <w:topLinePunct w:val="0"/>
        <w:autoSpaceDE w:val="0"/>
        <w:autoSpaceDN w:val="0"/>
        <w:bidi w:val="0"/>
        <w:adjustRightInd w:val="0"/>
        <w:snapToGrid w:val="0"/>
        <w:spacing w:line="288" w:lineRule="auto"/>
        <w:ind w:left="471" w:right="0"/>
        <w:textAlignment w:val="baseline"/>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注：投标文件出现上述情形被判定不予受理的，招标人应当拒收。</w:t>
      </w:r>
    </w:p>
    <w:p w14:paraId="4A2D6043">
      <w:pPr>
        <w:keepNext w:val="0"/>
        <w:keepLines w:val="0"/>
        <w:pageBreakBefore w:val="0"/>
        <w:widowControl/>
        <w:kinsoku w:val="0"/>
        <w:wordWrap/>
        <w:overflowPunct/>
        <w:topLinePunct w:val="0"/>
        <w:autoSpaceDE w:val="0"/>
        <w:autoSpaceDN w:val="0"/>
        <w:bidi w:val="0"/>
        <w:adjustRightInd w:val="0"/>
        <w:snapToGrid w:val="0"/>
        <w:spacing w:before="113" w:line="288" w:lineRule="auto"/>
        <w:ind w:left="498" w:right="0"/>
        <w:textAlignment w:val="baseline"/>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1.2</w:t>
      </w:r>
      <w:r>
        <w:rPr>
          <w:rFonts w:ascii="宋体" w:hAnsi="宋体" w:eastAsia="宋体" w:cs="宋体"/>
          <w:color w:val="auto"/>
          <w:spacing w:val="-35"/>
          <w:sz w:val="24"/>
          <w:szCs w:val="24"/>
          <w:highlight w:val="none"/>
        </w:rPr>
        <w:t xml:space="preserve"> </w:t>
      </w:r>
      <w:r>
        <w:rPr>
          <w:rFonts w:ascii="宋体" w:hAnsi="宋体" w:eastAsia="宋体" w:cs="宋体"/>
          <w:color w:val="auto"/>
          <w:spacing w:val="-3"/>
          <w:sz w:val="24"/>
          <w:szCs w:val="24"/>
          <w:highlight w:val="none"/>
        </w:rPr>
        <w:t>宣布投标文件为无效投标的情形：</w:t>
      </w:r>
    </w:p>
    <w:p w14:paraId="070535E6">
      <w:pPr>
        <w:keepNext w:val="0"/>
        <w:keepLines w:val="0"/>
        <w:pageBreakBefore w:val="0"/>
        <w:widowControl/>
        <w:kinsoku w:val="0"/>
        <w:wordWrap/>
        <w:overflowPunct/>
        <w:topLinePunct w:val="0"/>
        <w:autoSpaceDE w:val="0"/>
        <w:autoSpaceDN w:val="0"/>
        <w:bidi w:val="0"/>
        <w:adjustRightInd w:val="0"/>
        <w:snapToGrid w:val="0"/>
        <w:spacing w:before="116" w:line="288" w:lineRule="auto"/>
        <w:ind w:left="498" w:right="0"/>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1.2.1</w:t>
      </w:r>
      <w:r>
        <w:rPr>
          <w:rFonts w:ascii="宋体" w:hAnsi="宋体" w:eastAsia="宋体" w:cs="宋体"/>
          <w:color w:val="auto"/>
          <w:spacing w:val="-43"/>
          <w:sz w:val="24"/>
          <w:szCs w:val="24"/>
          <w:highlight w:val="none"/>
        </w:rPr>
        <w:t xml:space="preserve"> </w:t>
      </w:r>
      <w:r>
        <w:rPr>
          <w:rFonts w:ascii="宋体" w:hAnsi="宋体" w:eastAsia="宋体" w:cs="宋体"/>
          <w:color w:val="auto"/>
          <w:spacing w:val="-2"/>
          <w:sz w:val="24"/>
          <w:szCs w:val="24"/>
          <w:highlight w:val="none"/>
        </w:rPr>
        <w:t>未按照招标文件的要求提供投标保证金；</w:t>
      </w:r>
    </w:p>
    <w:p w14:paraId="761B2EF9">
      <w:pPr>
        <w:keepNext w:val="0"/>
        <w:keepLines w:val="0"/>
        <w:pageBreakBefore w:val="0"/>
        <w:widowControl/>
        <w:kinsoku w:val="0"/>
        <w:wordWrap/>
        <w:overflowPunct/>
        <w:topLinePunct w:val="0"/>
        <w:autoSpaceDE w:val="0"/>
        <w:autoSpaceDN w:val="0"/>
        <w:bidi w:val="0"/>
        <w:adjustRightInd w:val="0"/>
        <w:snapToGrid w:val="0"/>
        <w:spacing w:before="116" w:line="288" w:lineRule="auto"/>
        <w:ind w:left="498"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1.2.2</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投标文件的装订不符合要求，具体要求见本招</w:t>
      </w:r>
      <w:r>
        <w:rPr>
          <w:rFonts w:ascii="宋体" w:hAnsi="宋体" w:eastAsia="宋体" w:cs="宋体"/>
          <w:color w:val="auto"/>
          <w:spacing w:val="-2"/>
          <w:sz w:val="24"/>
          <w:szCs w:val="24"/>
          <w:highlight w:val="none"/>
        </w:rPr>
        <w:t>标文件相应条款；</w:t>
      </w:r>
    </w:p>
    <w:p w14:paraId="2331CD17">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 w:right="0" w:firstLine="496"/>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1.2.3</w:t>
      </w:r>
      <w:r>
        <w:rPr>
          <w:rFonts w:ascii="宋体" w:hAnsi="宋体" w:eastAsia="宋体" w:cs="宋体"/>
          <w:color w:val="auto"/>
          <w:spacing w:val="-39"/>
          <w:sz w:val="24"/>
          <w:szCs w:val="24"/>
          <w:highlight w:val="none"/>
        </w:rPr>
        <w:t xml:space="preserve"> </w:t>
      </w:r>
      <w:r>
        <w:rPr>
          <w:rFonts w:ascii="宋体" w:hAnsi="宋体" w:eastAsia="宋体" w:cs="宋体"/>
          <w:color w:val="auto"/>
          <w:spacing w:val="-1"/>
          <w:sz w:val="24"/>
          <w:szCs w:val="24"/>
          <w:highlight w:val="none"/>
        </w:rPr>
        <w:t>未在投标函上全部填写投标报价或填写的投标报价高于招标文件设定的招标控制</w:t>
      </w:r>
      <w:r>
        <w:rPr>
          <w:rFonts w:ascii="宋体" w:hAnsi="宋体" w:eastAsia="宋体" w:cs="宋体"/>
          <w:color w:val="auto"/>
          <w:spacing w:val="-2"/>
          <w:sz w:val="24"/>
          <w:szCs w:val="24"/>
          <w:highlight w:val="none"/>
        </w:rPr>
        <w:t>价（最高投标限价）。</w:t>
      </w:r>
    </w:p>
    <w:p w14:paraId="31EA6EB3">
      <w:pPr>
        <w:keepNext w:val="0"/>
        <w:keepLines w:val="0"/>
        <w:pageBreakBefore w:val="0"/>
        <w:widowControl/>
        <w:kinsoku w:val="0"/>
        <w:wordWrap/>
        <w:overflowPunct/>
        <w:topLinePunct w:val="0"/>
        <w:autoSpaceDE w:val="0"/>
        <w:autoSpaceDN w:val="0"/>
        <w:bidi w:val="0"/>
        <w:adjustRightInd w:val="0"/>
        <w:snapToGrid w:val="0"/>
        <w:spacing w:before="1" w:line="288" w:lineRule="auto"/>
        <w:ind w:left="1" w:right="0" w:firstLine="479"/>
        <w:textAlignment w:val="baseline"/>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注：投标文件出现上述情形被宣布为无效投标的，应当作为无效投标文件，</w:t>
      </w:r>
      <w:r>
        <w:rPr>
          <w:rFonts w:ascii="宋体" w:hAnsi="宋体" w:eastAsia="宋体" w:cs="宋体"/>
          <w:b/>
          <w:bCs/>
          <w:color w:val="auto"/>
          <w:spacing w:val="-5"/>
          <w:sz w:val="24"/>
          <w:szCs w:val="24"/>
          <w:highlight w:val="none"/>
        </w:rPr>
        <w:t>不得进入评</w:t>
      </w:r>
      <w:r>
        <w:rPr>
          <w:rFonts w:ascii="宋体" w:hAnsi="宋体" w:eastAsia="宋体" w:cs="宋体"/>
          <w:b/>
          <w:bCs/>
          <w:color w:val="auto"/>
          <w:spacing w:val="-8"/>
          <w:sz w:val="24"/>
          <w:szCs w:val="24"/>
          <w:highlight w:val="none"/>
        </w:rPr>
        <w:t>标。</w:t>
      </w:r>
    </w:p>
    <w:p w14:paraId="2FB7483F">
      <w:pPr>
        <w:keepNext w:val="0"/>
        <w:keepLines w:val="0"/>
        <w:pageBreakBefore w:val="0"/>
        <w:widowControl/>
        <w:kinsoku w:val="0"/>
        <w:wordWrap/>
        <w:overflowPunct/>
        <w:topLinePunct w:val="0"/>
        <w:autoSpaceDE w:val="0"/>
        <w:autoSpaceDN w:val="0"/>
        <w:bidi w:val="0"/>
        <w:adjustRightInd w:val="0"/>
        <w:snapToGrid w:val="0"/>
        <w:spacing w:before="1" w:line="288" w:lineRule="auto"/>
        <w:ind w:left="483" w:right="0"/>
        <w:textAlignment w:val="baseline"/>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2.初步评审阶段和详细评审阶段有下列情形之一的，评标委员会应当否决其投</w:t>
      </w:r>
      <w:r>
        <w:rPr>
          <w:rFonts w:ascii="宋体" w:hAnsi="宋体" w:eastAsia="宋体" w:cs="宋体"/>
          <w:b/>
          <w:bCs/>
          <w:color w:val="auto"/>
          <w:spacing w:val="-3"/>
          <w:sz w:val="24"/>
          <w:szCs w:val="24"/>
          <w:highlight w:val="none"/>
        </w:rPr>
        <w:t>标：</w:t>
      </w:r>
    </w:p>
    <w:p w14:paraId="512CEC7F">
      <w:pPr>
        <w:keepNext w:val="0"/>
        <w:keepLines w:val="0"/>
        <w:pageBreakBefore w:val="0"/>
        <w:widowControl/>
        <w:kinsoku w:val="0"/>
        <w:wordWrap/>
        <w:overflowPunct/>
        <w:topLinePunct w:val="0"/>
        <w:autoSpaceDE w:val="0"/>
        <w:autoSpaceDN w:val="0"/>
        <w:bidi w:val="0"/>
        <w:adjustRightInd w:val="0"/>
        <w:snapToGrid w:val="0"/>
        <w:spacing w:before="116" w:line="288" w:lineRule="auto"/>
        <w:ind w:left="483"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2.1</w:t>
      </w:r>
      <w:r>
        <w:rPr>
          <w:rFonts w:ascii="宋体" w:hAnsi="宋体" w:eastAsia="宋体" w:cs="宋体"/>
          <w:color w:val="auto"/>
          <w:spacing w:val="-47"/>
          <w:sz w:val="24"/>
          <w:szCs w:val="24"/>
          <w:highlight w:val="none"/>
        </w:rPr>
        <w:t xml:space="preserve"> </w:t>
      </w:r>
      <w:r>
        <w:rPr>
          <w:rFonts w:ascii="宋体" w:hAnsi="宋体" w:eastAsia="宋体" w:cs="宋体"/>
          <w:color w:val="auto"/>
          <w:spacing w:val="-1"/>
          <w:sz w:val="24"/>
          <w:szCs w:val="24"/>
          <w:highlight w:val="none"/>
        </w:rPr>
        <w:t>投标文件未经投标单位盖章和单位负责人或授权委托人签字（章</w:t>
      </w:r>
      <w:r>
        <w:rPr>
          <w:rFonts w:ascii="宋体" w:hAnsi="宋体" w:eastAsia="宋体" w:cs="宋体"/>
          <w:color w:val="auto"/>
          <w:spacing w:val="2"/>
          <w:sz w:val="24"/>
          <w:szCs w:val="24"/>
          <w:highlight w:val="none"/>
        </w:rPr>
        <w:t>）；</w:t>
      </w:r>
    </w:p>
    <w:p w14:paraId="21A36067">
      <w:pPr>
        <w:keepNext w:val="0"/>
        <w:keepLines w:val="0"/>
        <w:pageBreakBefore w:val="0"/>
        <w:widowControl/>
        <w:kinsoku w:val="0"/>
        <w:wordWrap/>
        <w:overflowPunct/>
        <w:topLinePunct w:val="0"/>
        <w:autoSpaceDE w:val="0"/>
        <w:autoSpaceDN w:val="0"/>
        <w:bidi w:val="0"/>
        <w:adjustRightInd w:val="0"/>
        <w:snapToGrid w:val="0"/>
        <w:spacing w:before="115" w:line="288" w:lineRule="auto"/>
        <w:ind w:left="483"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2.2</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投标人不符合国家或者招标文件规定的资格条件；</w:t>
      </w:r>
    </w:p>
    <w:p w14:paraId="4171C25C">
      <w:pPr>
        <w:keepNext w:val="0"/>
        <w:keepLines w:val="0"/>
        <w:pageBreakBefore w:val="0"/>
        <w:widowControl/>
        <w:kinsoku w:val="0"/>
        <w:wordWrap/>
        <w:overflowPunct/>
        <w:topLinePunct w:val="0"/>
        <w:autoSpaceDE w:val="0"/>
        <w:autoSpaceDN w:val="0"/>
        <w:bidi w:val="0"/>
        <w:adjustRightInd w:val="0"/>
        <w:snapToGrid w:val="0"/>
        <w:spacing w:before="116" w:line="288" w:lineRule="auto"/>
        <w:ind w:left="483" w:right="0"/>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2.3</w:t>
      </w:r>
      <w:r>
        <w:rPr>
          <w:rFonts w:ascii="宋体" w:hAnsi="宋体" w:eastAsia="宋体" w:cs="宋体"/>
          <w:color w:val="auto"/>
          <w:spacing w:val="-18"/>
          <w:sz w:val="24"/>
          <w:szCs w:val="24"/>
          <w:highlight w:val="none"/>
        </w:rPr>
        <w:t xml:space="preserve"> </w:t>
      </w:r>
      <w:r>
        <w:rPr>
          <w:rFonts w:ascii="宋体" w:hAnsi="宋体" w:eastAsia="宋体" w:cs="宋体"/>
          <w:color w:val="auto"/>
          <w:spacing w:val="-2"/>
          <w:sz w:val="24"/>
          <w:szCs w:val="24"/>
          <w:highlight w:val="none"/>
        </w:rPr>
        <w:t>同一投标人提交两个以上不同的投标文件或者投标报价；</w:t>
      </w:r>
    </w:p>
    <w:p w14:paraId="210BC1E0">
      <w:pPr>
        <w:keepNext w:val="0"/>
        <w:keepLines w:val="0"/>
        <w:pageBreakBefore w:val="0"/>
        <w:widowControl/>
        <w:kinsoku w:val="0"/>
        <w:wordWrap/>
        <w:overflowPunct/>
        <w:topLinePunct w:val="0"/>
        <w:autoSpaceDE w:val="0"/>
        <w:autoSpaceDN w:val="0"/>
        <w:bidi w:val="0"/>
        <w:adjustRightInd w:val="0"/>
        <w:snapToGrid w:val="0"/>
        <w:spacing w:before="48" w:line="288" w:lineRule="auto"/>
        <w:ind w:right="0" w:firstLine="481"/>
        <w:textAlignment w:val="baseline"/>
        <w:rPr>
          <w:rFonts w:ascii="宋体" w:hAnsi="宋体" w:eastAsia="宋体" w:cs="宋体"/>
          <w:color w:val="auto"/>
          <w:sz w:val="24"/>
          <w:szCs w:val="24"/>
          <w:highlight w:val="none"/>
        </w:rPr>
      </w:pPr>
      <w:r>
        <w:rPr>
          <w:rFonts w:ascii="宋体" w:hAnsi="宋体" w:eastAsia="宋体" w:cs="宋体"/>
          <w:color w:val="auto"/>
          <w:sz w:val="24"/>
          <w:szCs w:val="24"/>
          <w:highlight w:val="none"/>
        </w:rPr>
        <w:t>2.4</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投标报价高于招标文件设定的</w:t>
      </w:r>
      <w:r>
        <w:rPr>
          <w:rFonts w:ascii="宋体" w:hAnsi="宋体" w:eastAsia="宋体" w:cs="宋体"/>
          <w:color w:val="auto"/>
          <w:spacing w:val="-2"/>
          <w:sz w:val="24"/>
          <w:szCs w:val="24"/>
          <w:highlight w:val="none"/>
        </w:rPr>
        <w:t>招标控制价；</w:t>
      </w:r>
    </w:p>
    <w:p w14:paraId="2D3F2F7C">
      <w:pPr>
        <w:keepNext w:val="0"/>
        <w:keepLines w:val="0"/>
        <w:pageBreakBefore w:val="0"/>
        <w:widowControl/>
        <w:kinsoku w:val="0"/>
        <w:wordWrap/>
        <w:overflowPunct/>
        <w:topLinePunct w:val="0"/>
        <w:autoSpaceDE w:val="0"/>
        <w:autoSpaceDN w:val="0"/>
        <w:bidi w:val="0"/>
        <w:adjustRightInd w:val="0"/>
        <w:snapToGrid w:val="0"/>
        <w:spacing w:line="288" w:lineRule="auto"/>
        <w:ind w:left="482"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2.5</w:t>
      </w:r>
      <w:r>
        <w:rPr>
          <w:rFonts w:ascii="宋体" w:hAnsi="宋体" w:eastAsia="宋体" w:cs="宋体"/>
          <w:color w:val="auto"/>
          <w:spacing w:val="-46"/>
          <w:sz w:val="24"/>
          <w:szCs w:val="24"/>
          <w:highlight w:val="none"/>
        </w:rPr>
        <w:t xml:space="preserve"> </w:t>
      </w:r>
      <w:r>
        <w:rPr>
          <w:rFonts w:ascii="宋体" w:hAnsi="宋体" w:eastAsia="宋体" w:cs="宋体"/>
          <w:color w:val="auto"/>
          <w:spacing w:val="-1"/>
          <w:sz w:val="24"/>
          <w:szCs w:val="24"/>
          <w:highlight w:val="none"/>
        </w:rPr>
        <w:t>投标文件没有对招标文件的实质性要求和条件作出响应；</w:t>
      </w:r>
    </w:p>
    <w:p w14:paraId="4E216F0A">
      <w:pPr>
        <w:keepNext w:val="0"/>
        <w:keepLines w:val="0"/>
        <w:pageBreakBefore w:val="0"/>
        <w:widowControl/>
        <w:kinsoku w:val="0"/>
        <w:wordWrap/>
        <w:overflowPunct/>
        <w:topLinePunct w:val="0"/>
        <w:autoSpaceDE w:val="0"/>
        <w:autoSpaceDN w:val="0"/>
        <w:bidi w:val="0"/>
        <w:adjustRightInd w:val="0"/>
        <w:snapToGrid w:val="0"/>
        <w:spacing w:before="115" w:line="288" w:lineRule="auto"/>
        <w:ind w:left="482"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w:t>
      </w:r>
      <w:r>
        <w:rPr>
          <w:rFonts w:ascii="宋体" w:hAnsi="宋体" w:eastAsia="宋体" w:cs="宋体"/>
          <w:color w:val="auto"/>
          <w:spacing w:val="-40"/>
          <w:sz w:val="24"/>
          <w:szCs w:val="24"/>
          <w:highlight w:val="none"/>
        </w:rPr>
        <w:t xml:space="preserve"> </w:t>
      </w:r>
      <w:r>
        <w:rPr>
          <w:rFonts w:ascii="宋体" w:hAnsi="宋体" w:eastAsia="宋体" w:cs="宋体"/>
          <w:color w:val="auto"/>
          <w:spacing w:val="-1"/>
          <w:sz w:val="24"/>
          <w:szCs w:val="24"/>
          <w:highlight w:val="none"/>
        </w:rPr>
        <w:t>投标人有以他人的名义投标、串通投标、弄虚作假、行贿等违法行为；</w:t>
      </w:r>
    </w:p>
    <w:p w14:paraId="6B4CBDC4">
      <w:pPr>
        <w:keepNext w:val="0"/>
        <w:keepLines w:val="0"/>
        <w:pageBreakBefore w:val="0"/>
        <w:widowControl/>
        <w:kinsoku w:val="0"/>
        <w:wordWrap/>
        <w:overflowPunct/>
        <w:topLinePunct w:val="0"/>
        <w:autoSpaceDE w:val="0"/>
        <w:autoSpaceDN w:val="0"/>
        <w:bidi w:val="0"/>
        <w:adjustRightInd w:val="0"/>
        <w:snapToGrid w:val="0"/>
        <w:spacing w:before="113" w:line="288" w:lineRule="auto"/>
        <w:ind w:left="314" w:right="0"/>
        <w:textAlignment w:val="baseline"/>
        <w:rPr>
          <w:rFonts w:ascii="宋体" w:hAnsi="宋体" w:eastAsia="宋体" w:cs="宋体"/>
          <w:color w:val="auto"/>
          <w:sz w:val="24"/>
          <w:szCs w:val="24"/>
          <w:highlight w:val="none"/>
        </w:rPr>
      </w:pPr>
      <w:r>
        <w:rPr>
          <w:rFonts w:ascii="宋体" w:hAnsi="宋体" w:eastAsia="宋体" w:cs="宋体"/>
          <w:b/>
          <w:bCs/>
          <w:color w:val="auto"/>
          <w:spacing w:val="-2"/>
          <w:sz w:val="24"/>
          <w:szCs w:val="24"/>
          <w:highlight w:val="none"/>
        </w:rPr>
        <w:t>注：以他人的名义投标、串通投标、弄虚作假的行为认定（包括但不限于）</w:t>
      </w:r>
    </w:p>
    <w:p w14:paraId="356C166E">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 w:right="0" w:firstLine="480"/>
        <w:textAlignment w:val="baseline"/>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2.6.1</w:t>
      </w:r>
      <w:r>
        <w:rPr>
          <w:rFonts w:ascii="宋体" w:hAnsi="宋体" w:eastAsia="宋体" w:cs="宋体"/>
          <w:color w:val="auto"/>
          <w:spacing w:val="-35"/>
          <w:sz w:val="24"/>
          <w:szCs w:val="24"/>
          <w:highlight w:val="none"/>
        </w:rPr>
        <w:t xml:space="preserve"> </w:t>
      </w:r>
      <w:r>
        <w:rPr>
          <w:rFonts w:ascii="宋体" w:hAnsi="宋体" w:eastAsia="宋体" w:cs="宋体"/>
          <w:color w:val="auto"/>
          <w:spacing w:val="-5"/>
          <w:sz w:val="24"/>
          <w:szCs w:val="24"/>
          <w:highlight w:val="none"/>
        </w:rPr>
        <w:t>投标人挂靠其他单位，或从其他单位通过受让或租借的方式获取资格或资质证书，</w:t>
      </w:r>
      <w:r>
        <w:rPr>
          <w:rFonts w:ascii="宋体" w:hAnsi="宋体" w:eastAsia="宋体" w:cs="宋体"/>
          <w:color w:val="auto"/>
          <w:spacing w:val="-1"/>
          <w:sz w:val="24"/>
          <w:szCs w:val="24"/>
          <w:highlight w:val="none"/>
        </w:rPr>
        <w:t>或者由其他单位及其法定代表人在自己编制</w:t>
      </w:r>
      <w:r>
        <w:rPr>
          <w:rFonts w:ascii="宋体" w:hAnsi="宋体" w:eastAsia="宋体" w:cs="宋体"/>
          <w:color w:val="auto"/>
          <w:spacing w:val="-2"/>
          <w:sz w:val="24"/>
          <w:szCs w:val="24"/>
          <w:highlight w:val="none"/>
        </w:rPr>
        <w:t>的投标文件上加盖印章和签字等行为，属于以他人名义投标。</w:t>
      </w:r>
    </w:p>
    <w:p w14:paraId="566C1ED3">
      <w:pPr>
        <w:keepNext w:val="0"/>
        <w:keepLines w:val="0"/>
        <w:pageBreakBefore w:val="0"/>
        <w:widowControl/>
        <w:kinsoku w:val="0"/>
        <w:wordWrap/>
        <w:overflowPunct/>
        <w:topLinePunct w:val="0"/>
        <w:autoSpaceDE w:val="0"/>
        <w:autoSpaceDN w:val="0"/>
        <w:bidi w:val="0"/>
        <w:adjustRightInd w:val="0"/>
        <w:snapToGrid w:val="0"/>
        <w:spacing w:line="288" w:lineRule="auto"/>
        <w:ind w:left="4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2.6.2</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有下列情形之一的，属于投标人相互串通投标：</w:t>
      </w:r>
    </w:p>
    <w:p w14:paraId="3722287E">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2.6.2.1</w:t>
      </w:r>
      <w:r>
        <w:rPr>
          <w:rFonts w:ascii="宋体" w:hAnsi="宋体" w:eastAsia="宋体" w:cs="宋体"/>
          <w:color w:val="auto"/>
          <w:spacing w:val="-44"/>
          <w:sz w:val="24"/>
          <w:szCs w:val="24"/>
          <w:highlight w:val="none"/>
        </w:rPr>
        <w:t xml:space="preserve"> </w:t>
      </w:r>
      <w:r>
        <w:rPr>
          <w:rFonts w:ascii="宋体" w:hAnsi="宋体" w:eastAsia="宋体" w:cs="宋体"/>
          <w:color w:val="auto"/>
          <w:spacing w:val="-1"/>
          <w:sz w:val="24"/>
          <w:szCs w:val="24"/>
          <w:highlight w:val="none"/>
        </w:rPr>
        <w:t>投标人之间协商投标报价等投标文件的实质性内容；</w:t>
      </w:r>
    </w:p>
    <w:p w14:paraId="0081D11B">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2.6.2.2</w:t>
      </w:r>
      <w:r>
        <w:rPr>
          <w:rFonts w:ascii="宋体" w:hAnsi="宋体" w:eastAsia="宋体" w:cs="宋体"/>
          <w:color w:val="auto"/>
          <w:spacing w:val="-38"/>
          <w:sz w:val="24"/>
          <w:szCs w:val="24"/>
          <w:highlight w:val="none"/>
        </w:rPr>
        <w:t xml:space="preserve"> </w:t>
      </w:r>
      <w:r>
        <w:rPr>
          <w:rFonts w:ascii="宋体" w:hAnsi="宋体" w:eastAsia="宋体" w:cs="宋体"/>
          <w:color w:val="auto"/>
          <w:spacing w:val="-2"/>
          <w:sz w:val="24"/>
          <w:szCs w:val="24"/>
          <w:highlight w:val="none"/>
        </w:rPr>
        <w:t>投标人之间约定中标人；</w:t>
      </w:r>
    </w:p>
    <w:p w14:paraId="7706E779">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2.6.2.3</w:t>
      </w:r>
      <w:r>
        <w:rPr>
          <w:rFonts w:ascii="宋体" w:hAnsi="宋体" w:eastAsia="宋体" w:cs="宋体"/>
          <w:color w:val="auto"/>
          <w:spacing w:val="-46"/>
          <w:sz w:val="24"/>
          <w:szCs w:val="24"/>
          <w:highlight w:val="none"/>
        </w:rPr>
        <w:t xml:space="preserve"> </w:t>
      </w:r>
      <w:r>
        <w:rPr>
          <w:rFonts w:ascii="宋体" w:hAnsi="宋体" w:eastAsia="宋体" w:cs="宋体"/>
          <w:color w:val="auto"/>
          <w:spacing w:val="-1"/>
          <w:sz w:val="24"/>
          <w:szCs w:val="24"/>
          <w:highlight w:val="none"/>
        </w:rPr>
        <w:t>投标人之间约定部分投标人放弃投标或者中标；</w:t>
      </w:r>
    </w:p>
    <w:p w14:paraId="0845AD77">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2.6.2.4</w:t>
      </w:r>
      <w:r>
        <w:rPr>
          <w:rFonts w:ascii="宋体" w:hAnsi="宋体" w:eastAsia="宋体" w:cs="宋体"/>
          <w:color w:val="auto"/>
          <w:spacing w:val="-48"/>
          <w:sz w:val="24"/>
          <w:szCs w:val="24"/>
          <w:highlight w:val="none"/>
        </w:rPr>
        <w:t xml:space="preserve"> </w:t>
      </w:r>
      <w:r>
        <w:rPr>
          <w:rFonts w:ascii="宋体" w:hAnsi="宋体" w:eastAsia="宋体" w:cs="宋体"/>
          <w:color w:val="auto"/>
          <w:spacing w:val="-6"/>
          <w:sz w:val="24"/>
          <w:szCs w:val="24"/>
          <w:highlight w:val="none"/>
        </w:rPr>
        <w:t>属于同一集团、协会、商会等组织成员的投标人按</w:t>
      </w:r>
      <w:r>
        <w:rPr>
          <w:rFonts w:ascii="宋体" w:hAnsi="宋体" w:eastAsia="宋体" w:cs="宋体"/>
          <w:color w:val="auto"/>
          <w:spacing w:val="-7"/>
          <w:sz w:val="24"/>
          <w:szCs w:val="24"/>
          <w:highlight w:val="none"/>
        </w:rPr>
        <w:t>照该组织要求协同投标；</w:t>
      </w:r>
    </w:p>
    <w:p w14:paraId="24F6D102">
      <w:pPr>
        <w:keepNext w:val="0"/>
        <w:keepLines w:val="0"/>
        <w:pageBreakBefore w:val="0"/>
        <w:widowControl/>
        <w:kinsoku w:val="0"/>
        <w:wordWrap/>
        <w:overflowPunct/>
        <w:topLinePunct w:val="0"/>
        <w:autoSpaceDE w:val="0"/>
        <w:autoSpaceDN w:val="0"/>
        <w:bidi w:val="0"/>
        <w:adjustRightInd w:val="0"/>
        <w:snapToGrid w:val="0"/>
        <w:spacing w:before="114"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2.6.2.5</w:t>
      </w:r>
      <w:r>
        <w:rPr>
          <w:rFonts w:ascii="宋体" w:hAnsi="宋体" w:eastAsia="宋体" w:cs="宋体"/>
          <w:color w:val="auto"/>
          <w:spacing w:val="-37"/>
          <w:sz w:val="24"/>
          <w:szCs w:val="24"/>
          <w:highlight w:val="none"/>
        </w:rPr>
        <w:t xml:space="preserve"> </w:t>
      </w:r>
      <w:r>
        <w:rPr>
          <w:rFonts w:ascii="宋体" w:hAnsi="宋体" w:eastAsia="宋体" w:cs="宋体"/>
          <w:color w:val="auto"/>
          <w:spacing w:val="-1"/>
          <w:sz w:val="24"/>
          <w:szCs w:val="24"/>
          <w:highlight w:val="none"/>
        </w:rPr>
        <w:t>投标人之间为谋取中标或者排斥特定投标人而采取的其他联合行动。</w:t>
      </w:r>
    </w:p>
    <w:p w14:paraId="3AD78D0C">
      <w:pPr>
        <w:keepNext w:val="0"/>
        <w:keepLines w:val="0"/>
        <w:pageBreakBefore w:val="0"/>
        <w:widowControl/>
        <w:kinsoku w:val="0"/>
        <w:wordWrap/>
        <w:overflowPunct/>
        <w:topLinePunct w:val="0"/>
        <w:autoSpaceDE w:val="0"/>
        <w:autoSpaceDN w:val="0"/>
        <w:bidi w:val="0"/>
        <w:adjustRightInd w:val="0"/>
        <w:snapToGrid w:val="0"/>
        <w:spacing w:before="117" w:line="288" w:lineRule="auto"/>
        <w:ind w:left="4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2.6.3</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有下列情形之一的，视为投标人相互串通投标：</w:t>
      </w:r>
    </w:p>
    <w:p w14:paraId="7E03FA4C">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2.6.3.1</w:t>
      </w:r>
      <w:r>
        <w:rPr>
          <w:rFonts w:ascii="宋体" w:hAnsi="宋体" w:eastAsia="宋体" w:cs="宋体"/>
          <w:color w:val="auto"/>
          <w:spacing w:val="-45"/>
          <w:sz w:val="24"/>
          <w:szCs w:val="24"/>
          <w:highlight w:val="none"/>
        </w:rPr>
        <w:t xml:space="preserve"> </w:t>
      </w:r>
      <w:r>
        <w:rPr>
          <w:rFonts w:ascii="宋体" w:hAnsi="宋体" w:eastAsia="宋体" w:cs="宋体"/>
          <w:color w:val="auto"/>
          <w:spacing w:val="-1"/>
          <w:sz w:val="24"/>
          <w:szCs w:val="24"/>
          <w:highlight w:val="none"/>
        </w:rPr>
        <w:t>不同投标人的投标文件由同一单位或者个人编制；</w:t>
      </w:r>
    </w:p>
    <w:p w14:paraId="1116071A">
      <w:pPr>
        <w:keepNext w:val="0"/>
        <w:keepLines w:val="0"/>
        <w:pageBreakBefore w:val="0"/>
        <w:widowControl/>
        <w:kinsoku w:val="0"/>
        <w:wordWrap/>
        <w:overflowPunct/>
        <w:topLinePunct w:val="0"/>
        <w:autoSpaceDE w:val="0"/>
        <w:autoSpaceDN w:val="0"/>
        <w:bidi w:val="0"/>
        <w:adjustRightInd w:val="0"/>
        <w:snapToGrid w:val="0"/>
        <w:spacing w:before="114"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2.6.3.2</w:t>
      </w:r>
      <w:r>
        <w:rPr>
          <w:rFonts w:ascii="宋体" w:hAnsi="宋体" w:eastAsia="宋体" w:cs="宋体"/>
          <w:color w:val="auto"/>
          <w:spacing w:val="-45"/>
          <w:sz w:val="24"/>
          <w:szCs w:val="24"/>
          <w:highlight w:val="none"/>
        </w:rPr>
        <w:t xml:space="preserve"> </w:t>
      </w:r>
      <w:r>
        <w:rPr>
          <w:rFonts w:ascii="宋体" w:hAnsi="宋体" w:eastAsia="宋体" w:cs="宋体"/>
          <w:color w:val="auto"/>
          <w:spacing w:val="-1"/>
          <w:sz w:val="24"/>
          <w:szCs w:val="24"/>
          <w:highlight w:val="none"/>
        </w:rPr>
        <w:t>不同投标人委托同一单位或者个人办理投标事宜；</w:t>
      </w:r>
    </w:p>
    <w:p w14:paraId="29177B83">
      <w:pPr>
        <w:keepNext w:val="0"/>
        <w:keepLines w:val="0"/>
        <w:pageBreakBefore w:val="0"/>
        <w:widowControl/>
        <w:kinsoku w:val="0"/>
        <w:wordWrap/>
        <w:overflowPunct/>
        <w:topLinePunct w:val="0"/>
        <w:autoSpaceDE w:val="0"/>
        <w:autoSpaceDN w:val="0"/>
        <w:bidi w:val="0"/>
        <w:adjustRightInd w:val="0"/>
        <w:snapToGrid w:val="0"/>
        <w:spacing w:before="116"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2.6.3.3</w:t>
      </w:r>
      <w:r>
        <w:rPr>
          <w:rFonts w:ascii="宋体" w:hAnsi="宋体" w:eastAsia="宋体" w:cs="宋体"/>
          <w:color w:val="auto"/>
          <w:spacing w:val="-43"/>
          <w:sz w:val="24"/>
          <w:szCs w:val="24"/>
          <w:highlight w:val="none"/>
        </w:rPr>
        <w:t xml:space="preserve"> </w:t>
      </w:r>
      <w:r>
        <w:rPr>
          <w:rFonts w:ascii="宋体" w:hAnsi="宋体" w:eastAsia="宋体" w:cs="宋体"/>
          <w:color w:val="auto"/>
          <w:spacing w:val="-1"/>
          <w:sz w:val="24"/>
          <w:szCs w:val="24"/>
          <w:highlight w:val="none"/>
        </w:rPr>
        <w:t>不同投标人的投标文件载明的项目管理成员为同一人；</w:t>
      </w:r>
    </w:p>
    <w:p w14:paraId="39A29829">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2.6.3.4</w:t>
      </w:r>
      <w:r>
        <w:rPr>
          <w:rFonts w:ascii="宋体" w:hAnsi="宋体" w:eastAsia="宋体" w:cs="宋体"/>
          <w:color w:val="auto"/>
          <w:spacing w:val="-40"/>
          <w:sz w:val="24"/>
          <w:szCs w:val="24"/>
          <w:highlight w:val="none"/>
        </w:rPr>
        <w:t xml:space="preserve"> </w:t>
      </w:r>
      <w:r>
        <w:rPr>
          <w:rFonts w:ascii="宋体" w:hAnsi="宋体" w:eastAsia="宋体" w:cs="宋体"/>
          <w:color w:val="auto"/>
          <w:spacing w:val="-1"/>
          <w:sz w:val="24"/>
          <w:szCs w:val="24"/>
          <w:highlight w:val="none"/>
        </w:rPr>
        <w:t>不同投标人的投标文件异常一致或者投标报价呈规律性差异；</w:t>
      </w:r>
    </w:p>
    <w:p w14:paraId="0C3F824A">
      <w:pPr>
        <w:keepNext w:val="0"/>
        <w:keepLines w:val="0"/>
        <w:pageBreakBefore w:val="0"/>
        <w:widowControl/>
        <w:kinsoku w:val="0"/>
        <w:wordWrap/>
        <w:overflowPunct/>
        <w:topLinePunct w:val="0"/>
        <w:autoSpaceDE w:val="0"/>
        <w:autoSpaceDN w:val="0"/>
        <w:bidi w:val="0"/>
        <w:adjustRightInd w:val="0"/>
        <w:snapToGrid w:val="0"/>
        <w:spacing w:before="116"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2.6.3.5</w:t>
      </w:r>
      <w:r>
        <w:rPr>
          <w:rFonts w:ascii="宋体" w:hAnsi="宋体" w:eastAsia="宋体" w:cs="宋体"/>
          <w:color w:val="auto"/>
          <w:spacing w:val="-30"/>
          <w:sz w:val="24"/>
          <w:szCs w:val="24"/>
          <w:highlight w:val="none"/>
        </w:rPr>
        <w:t xml:space="preserve"> </w:t>
      </w:r>
      <w:r>
        <w:rPr>
          <w:rFonts w:ascii="宋体" w:hAnsi="宋体" w:eastAsia="宋体" w:cs="宋体"/>
          <w:color w:val="auto"/>
          <w:spacing w:val="-2"/>
          <w:sz w:val="24"/>
          <w:szCs w:val="24"/>
          <w:highlight w:val="none"/>
        </w:rPr>
        <w:t>不同投标人的投标文件相互混装；</w:t>
      </w:r>
    </w:p>
    <w:p w14:paraId="4D6E9D8D">
      <w:pPr>
        <w:keepNext w:val="0"/>
        <w:keepLines w:val="0"/>
        <w:pageBreakBefore w:val="0"/>
        <w:widowControl/>
        <w:kinsoku w:val="0"/>
        <w:wordWrap/>
        <w:overflowPunct/>
        <w:topLinePunct w:val="0"/>
        <w:autoSpaceDE w:val="0"/>
        <w:autoSpaceDN w:val="0"/>
        <w:bidi w:val="0"/>
        <w:adjustRightInd w:val="0"/>
        <w:snapToGrid w:val="0"/>
        <w:spacing w:before="116" w:line="288" w:lineRule="auto"/>
        <w:ind w:left="1077" w:right="0" w:firstLine="2"/>
        <w:textAlignment w:val="baseline"/>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2.6.3.6</w:t>
      </w:r>
      <w:r>
        <w:rPr>
          <w:rFonts w:ascii="宋体" w:hAnsi="宋体" w:eastAsia="宋体" w:cs="宋体"/>
          <w:color w:val="auto"/>
          <w:spacing w:val="-46"/>
          <w:sz w:val="24"/>
          <w:szCs w:val="24"/>
          <w:highlight w:val="none"/>
        </w:rPr>
        <w:t xml:space="preserve"> </w:t>
      </w:r>
      <w:r>
        <w:rPr>
          <w:rFonts w:ascii="宋体" w:hAnsi="宋体" w:eastAsia="宋体" w:cs="宋体"/>
          <w:color w:val="auto"/>
          <w:spacing w:val="-3"/>
          <w:sz w:val="24"/>
          <w:szCs w:val="24"/>
          <w:highlight w:val="none"/>
        </w:rPr>
        <w:t>不同投标人的投标保证金从同一单位</w:t>
      </w:r>
      <w:r>
        <w:rPr>
          <w:rFonts w:ascii="宋体" w:hAnsi="宋体" w:eastAsia="宋体" w:cs="宋体"/>
          <w:color w:val="auto"/>
          <w:spacing w:val="-4"/>
          <w:sz w:val="24"/>
          <w:szCs w:val="24"/>
          <w:highlight w:val="none"/>
        </w:rPr>
        <w:t>或者个人的账户转出，不同投标人提</w:t>
      </w:r>
      <w:r>
        <w:rPr>
          <w:rFonts w:ascii="宋体" w:hAnsi="宋体" w:eastAsia="宋体" w:cs="宋体"/>
          <w:color w:val="auto"/>
          <w:sz w:val="24"/>
          <w:szCs w:val="24"/>
          <w:highlight w:val="none"/>
        </w:rPr>
        <w:t>供的投标保函（保单）的申请人（或投保人</w:t>
      </w:r>
      <w:r>
        <w:rPr>
          <w:rFonts w:ascii="宋体" w:hAnsi="宋体" w:eastAsia="宋体" w:cs="宋体"/>
          <w:color w:val="auto"/>
          <w:spacing w:val="-1"/>
          <w:sz w:val="24"/>
          <w:szCs w:val="24"/>
          <w:highlight w:val="none"/>
        </w:rPr>
        <w:t>）为同一单位或个人的。</w:t>
      </w:r>
    </w:p>
    <w:p w14:paraId="56767360">
      <w:pPr>
        <w:keepNext w:val="0"/>
        <w:keepLines w:val="0"/>
        <w:pageBreakBefore w:val="0"/>
        <w:widowControl/>
        <w:kinsoku w:val="0"/>
        <w:wordWrap/>
        <w:overflowPunct/>
        <w:topLinePunct w:val="0"/>
        <w:autoSpaceDE w:val="0"/>
        <w:autoSpaceDN w:val="0"/>
        <w:bidi w:val="0"/>
        <w:adjustRightInd w:val="0"/>
        <w:snapToGrid w:val="0"/>
        <w:spacing w:before="1" w:line="288" w:lineRule="auto"/>
        <w:ind w:left="4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2.6.4</w:t>
      </w:r>
      <w:r>
        <w:rPr>
          <w:rFonts w:ascii="宋体" w:hAnsi="宋体" w:eastAsia="宋体" w:cs="宋体"/>
          <w:color w:val="auto"/>
          <w:spacing w:val="-42"/>
          <w:sz w:val="24"/>
          <w:szCs w:val="24"/>
          <w:highlight w:val="none"/>
        </w:rPr>
        <w:t xml:space="preserve"> </w:t>
      </w:r>
      <w:r>
        <w:rPr>
          <w:rFonts w:ascii="宋体" w:hAnsi="宋体" w:eastAsia="宋体" w:cs="宋体"/>
          <w:color w:val="auto"/>
          <w:spacing w:val="-1"/>
          <w:sz w:val="24"/>
          <w:szCs w:val="24"/>
          <w:highlight w:val="none"/>
        </w:rPr>
        <w:t>投标人有下列情形之一的，属于以其他方式弄虚作假的行为：</w:t>
      </w:r>
    </w:p>
    <w:p w14:paraId="0949CD93">
      <w:pPr>
        <w:keepNext w:val="0"/>
        <w:keepLines w:val="0"/>
        <w:pageBreakBefore w:val="0"/>
        <w:widowControl/>
        <w:kinsoku w:val="0"/>
        <w:wordWrap/>
        <w:overflowPunct/>
        <w:topLinePunct w:val="0"/>
        <w:autoSpaceDE w:val="0"/>
        <w:autoSpaceDN w:val="0"/>
        <w:bidi w:val="0"/>
        <w:adjustRightInd w:val="0"/>
        <w:snapToGrid w:val="0"/>
        <w:spacing w:before="117"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2.6.4.1</w:t>
      </w:r>
      <w:r>
        <w:rPr>
          <w:rFonts w:ascii="宋体" w:hAnsi="宋体" w:eastAsia="宋体" w:cs="宋体"/>
          <w:color w:val="auto"/>
          <w:spacing w:val="-34"/>
          <w:sz w:val="24"/>
          <w:szCs w:val="24"/>
          <w:highlight w:val="none"/>
        </w:rPr>
        <w:t xml:space="preserve"> </w:t>
      </w:r>
      <w:r>
        <w:rPr>
          <w:rFonts w:ascii="宋体" w:hAnsi="宋体" w:eastAsia="宋体" w:cs="宋体"/>
          <w:color w:val="auto"/>
          <w:spacing w:val="-2"/>
          <w:sz w:val="24"/>
          <w:szCs w:val="24"/>
          <w:highlight w:val="none"/>
        </w:rPr>
        <w:t>使用伪造、变造的许可证件；</w:t>
      </w:r>
    </w:p>
    <w:p w14:paraId="16A109D1">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2.6.4.2</w:t>
      </w:r>
      <w:r>
        <w:rPr>
          <w:rFonts w:ascii="宋体" w:hAnsi="宋体" w:eastAsia="宋体" w:cs="宋体"/>
          <w:color w:val="auto"/>
          <w:spacing w:val="-32"/>
          <w:sz w:val="24"/>
          <w:szCs w:val="24"/>
          <w:highlight w:val="none"/>
        </w:rPr>
        <w:t xml:space="preserve"> </w:t>
      </w:r>
      <w:r>
        <w:rPr>
          <w:rFonts w:ascii="宋体" w:hAnsi="宋体" w:eastAsia="宋体" w:cs="宋体"/>
          <w:color w:val="auto"/>
          <w:spacing w:val="-2"/>
          <w:sz w:val="24"/>
          <w:szCs w:val="24"/>
          <w:highlight w:val="none"/>
        </w:rPr>
        <w:t>提供虚假的财务状况或者业绩；</w:t>
      </w:r>
    </w:p>
    <w:p w14:paraId="7D6508C0">
      <w:pPr>
        <w:keepNext w:val="0"/>
        <w:keepLines w:val="0"/>
        <w:pageBreakBefore w:val="0"/>
        <w:widowControl/>
        <w:kinsoku w:val="0"/>
        <w:wordWrap/>
        <w:overflowPunct/>
        <w:topLinePunct w:val="0"/>
        <w:autoSpaceDE w:val="0"/>
        <w:autoSpaceDN w:val="0"/>
        <w:bidi w:val="0"/>
        <w:adjustRightInd w:val="0"/>
        <w:snapToGrid w:val="0"/>
        <w:spacing w:before="114"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2.6.4.3</w:t>
      </w:r>
      <w:r>
        <w:rPr>
          <w:rFonts w:ascii="宋体" w:hAnsi="宋体" w:eastAsia="宋体" w:cs="宋体"/>
          <w:color w:val="auto"/>
          <w:spacing w:val="-39"/>
          <w:sz w:val="24"/>
          <w:szCs w:val="24"/>
          <w:highlight w:val="none"/>
        </w:rPr>
        <w:t xml:space="preserve"> </w:t>
      </w:r>
      <w:r>
        <w:rPr>
          <w:rFonts w:ascii="宋体" w:hAnsi="宋体" w:eastAsia="宋体" w:cs="宋体"/>
          <w:color w:val="auto"/>
          <w:spacing w:val="-1"/>
          <w:sz w:val="24"/>
          <w:szCs w:val="24"/>
          <w:highlight w:val="none"/>
        </w:rPr>
        <w:t>提供虚假的项目负责人或者主要技术人员简历、劳动关系证明；</w:t>
      </w:r>
    </w:p>
    <w:p w14:paraId="4AFB1201">
      <w:pPr>
        <w:keepNext w:val="0"/>
        <w:keepLines w:val="0"/>
        <w:pageBreakBefore w:val="0"/>
        <w:widowControl/>
        <w:kinsoku w:val="0"/>
        <w:wordWrap/>
        <w:overflowPunct/>
        <w:topLinePunct w:val="0"/>
        <w:autoSpaceDE w:val="0"/>
        <w:autoSpaceDN w:val="0"/>
        <w:bidi w:val="0"/>
        <w:adjustRightInd w:val="0"/>
        <w:snapToGrid w:val="0"/>
        <w:spacing w:before="116"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2.6.4.4</w:t>
      </w:r>
      <w:r>
        <w:rPr>
          <w:rFonts w:ascii="宋体" w:hAnsi="宋体" w:eastAsia="宋体" w:cs="宋体"/>
          <w:color w:val="auto"/>
          <w:spacing w:val="-40"/>
          <w:sz w:val="24"/>
          <w:szCs w:val="24"/>
          <w:highlight w:val="none"/>
        </w:rPr>
        <w:t xml:space="preserve"> </w:t>
      </w:r>
      <w:r>
        <w:rPr>
          <w:rFonts w:ascii="宋体" w:hAnsi="宋体" w:eastAsia="宋体" w:cs="宋体"/>
          <w:color w:val="auto"/>
          <w:spacing w:val="-2"/>
          <w:sz w:val="24"/>
          <w:szCs w:val="24"/>
          <w:highlight w:val="none"/>
        </w:rPr>
        <w:t>提供虚假的信用状况；</w:t>
      </w:r>
    </w:p>
    <w:p w14:paraId="7052E8C8">
      <w:pPr>
        <w:keepNext w:val="0"/>
        <w:keepLines w:val="0"/>
        <w:pageBreakBefore w:val="0"/>
        <w:widowControl/>
        <w:kinsoku w:val="0"/>
        <w:wordWrap/>
        <w:overflowPunct/>
        <w:topLinePunct w:val="0"/>
        <w:autoSpaceDE w:val="0"/>
        <w:autoSpaceDN w:val="0"/>
        <w:bidi w:val="0"/>
        <w:adjustRightInd w:val="0"/>
        <w:snapToGrid w:val="0"/>
        <w:spacing w:before="116" w:line="288" w:lineRule="auto"/>
        <w:ind w:left="1080" w:right="0"/>
        <w:textAlignment w:val="baseline"/>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2.6.4.5</w:t>
      </w:r>
      <w:r>
        <w:rPr>
          <w:rFonts w:ascii="宋体" w:hAnsi="宋体" w:eastAsia="宋体" w:cs="宋体"/>
          <w:color w:val="auto"/>
          <w:spacing w:val="-40"/>
          <w:sz w:val="24"/>
          <w:szCs w:val="24"/>
          <w:highlight w:val="none"/>
        </w:rPr>
        <w:t xml:space="preserve"> </w:t>
      </w:r>
      <w:r>
        <w:rPr>
          <w:rFonts w:ascii="宋体" w:hAnsi="宋体" w:eastAsia="宋体" w:cs="宋体"/>
          <w:color w:val="auto"/>
          <w:spacing w:val="-2"/>
          <w:sz w:val="24"/>
          <w:szCs w:val="24"/>
          <w:highlight w:val="none"/>
        </w:rPr>
        <w:t>其他弄虚作假的行为。</w:t>
      </w:r>
    </w:p>
    <w:p w14:paraId="56DA0AFF">
      <w:pPr>
        <w:keepNext w:val="0"/>
        <w:keepLines w:val="0"/>
        <w:pageBreakBefore w:val="0"/>
        <w:widowControl/>
        <w:kinsoku w:val="0"/>
        <w:wordWrap/>
        <w:overflowPunct/>
        <w:topLinePunct w:val="0"/>
        <w:autoSpaceDE w:val="0"/>
        <w:autoSpaceDN w:val="0"/>
        <w:bidi w:val="0"/>
        <w:adjustRightInd w:val="0"/>
        <w:snapToGrid w:val="0"/>
        <w:spacing w:before="39" w:line="288" w:lineRule="auto"/>
        <w:ind w:left="19" w:right="0" w:firstLine="463"/>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2.6.5</w:t>
      </w:r>
      <w:r>
        <w:rPr>
          <w:rFonts w:ascii="宋体" w:hAnsi="宋体" w:eastAsia="宋体" w:cs="宋体"/>
          <w:color w:val="auto"/>
          <w:spacing w:val="-50"/>
          <w:sz w:val="24"/>
          <w:szCs w:val="24"/>
          <w:highlight w:val="none"/>
        </w:rPr>
        <w:t xml:space="preserve"> </w:t>
      </w:r>
      <w:r>
        <w:rPr>
          <w:rFonts w:ascii="宋体" w:hAnsi="宋体" w:eastAsia="宋体" w:cs="宋体"/>
          <w:color w:val="auto"/>
          <w:spacing w:val="1"/>
          <w:sz w:val="24"/>
          <w:szCs w:val="24"/>
          <w:highlight w:val="none"/>
        </w:rPr>
        <w:t>法律、法规、规章、规范性文件以及国家、省、市各级</w:t>
      </w:r>
      <w:r>
        <w:rPr>
          <w:rFonts w:ascii="宋体" w:hAnsi="宋体" w:eastAsia="宋体" w:cs="宋体"/>
          <w:color w:val="auto"/>
          <w:sz w:val="24"/>
          <w:szCs w:val="24"/>
          <w:highlight w:val="none"/>
        </w:rPr>
        <w:t>政府部门工作文件规定</w:t>
      </w:r>
      <w:r>
        <w:rPr>
          <w:rFonts w:ascii="宋体" w:hAnsi="宋体" w:eastAsia="宋体" w:cs="宋体"/>
          <w:color w:val="auto"/>
          <w:spacing w:val="-4"/>
          <w:sz w:val="24"/>
          <w:szCs w:val="24"/>
          <w:highlight w:val="none"/>
        </w:rPr>
        <w:t>的其他认定标准。</w:t>
      </w:r>
    </w:p>
    <w:p w14:paraId="723DC273">
      <w:pPr>
        <w:keepNext w:val="0"/>
        <w:keepLines w:val="0"/>
        <w:pageBreakBefore w:val="0"/>
        <w:widowControl/>
        <w:kinsoku w:val="0"/>
        <w:wordWrap/>
        <w:overflowPunct/>
        <w:topLinePunct w:val="0"/>
        <w:autoSpaceDE w:val="0"/>
        <w:autoSpaceDN w:val="0"/>
        <w:bidi w:val="0"/>
        <w:adjustRightInd w:val="0"/>
        <w:snapToGrid w:val="0"/>
        <w:spacing w:before="70" w:line="288" w:lineRule="auto"/>
        <w:ind w:left="482" w:right="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2.7</w:t>
      </w:r>
      <w:r>
        <w:rPr>
          <w:rFonts w:ascii="宋体" w:hAnsi="宋体" w:eastAsia="宋体" w:cs="宋体"/>
          <w:color w:val="auto"/>
          <w:spacing w:val="-39"/>
          <w:sz w:val="24"/>
          <w:szCs w:val="24"/>
          <w:highlight w:val="none"/>
        </w:rPr>
        <w:t xml:space="preserve"> </w:t>
      </w:r>
      <w:r>
        <w:rPr>
          <w:rFonts w:ascii="宋体" w:hAnsi="宋体" w:eastAsia="宋体" w:cs="宋体"/>
          <w:color w:val="auto"/>
          <w:spacing w:val="-1"/>
          <w:sz w:val="24"/>
          <w:szCs w:val="24"/>
          <w:highlight w:val="none"/>
        </w:rPr>
        <w:t>投标人拒不按照评标委员会要求对投标文件进行澄清、说明或者补正的；</w:t>
      </w:r>
    </w:p>
    <w:p w14:paraId="6D77073F">
      <w:pPr>
        <w:keepNext w:val="0"/>
        <w:keepLines w:val="0"/>
        <w:pageBreakBefore w:val="0"/>
        <w:widowControl/>
        <w:kinsoku w:val="0"/>
        <w:wordWrap/>
        <w:overflowPunct/>
        <w:topLinePunct w:val="0"/>
        <w:autoSpaceDE w:val="0"/>
        <w:autoSpaceDN w:val="0"/>
        <w:bidi w:val="0"/>
        <w:adjustRightInd w:val="0"/>
        <w:snapToGrid w:val="0"/>
        <w:spacing w:before="115" w:line="288" w:lineRule="auto"/>
        <w:ind w:right="0" w:firstLine="482"/>
        <w:textAlignment w:val="baseline"/>
        <w:rPr>
          <w:rFonts w:ascii="宋体" w:hAnsi="宋体" w:eastAsia="宋体" w:cs="宋体"/>
          <w:color w:val="auto"/>
          <w:sz w:val="24"/>
          <w:szCs w:val="24"/>
          <w:highlight w:val="none"/>
        </w:rPr>
      </w:pPr>
      <w:r>
        <w:rPr>
          <w:rFonts w:ascii="宋体" w:hAnsi="宋体" w:eastAsia="宋体" w:cs="宋体"/>
          <w:color w:val="auto"/>
          <w:sz w:val="24"/>
          <w:szCs w:val="24"/>
          <w:highlight w:val="none"/>
        </w:rPr>
        <w:t>2.8</w:t>
      </w:r>
      <w:r>
        <w:rPr>
          <w:rFonts w:ascii="宋体" w:hAnsi="宋体" w:eastAsia="宋体" w:cs="宋体"/>
          <w:color w:val="auto"/>
          <w:spacing w:val="-48"/>
          <w:sz w:val="24"/>
          <w:szCs w:val="24"/>
          <w:highlight w:val="none"/>
        </w:rPr>
        <w:t xml:space="preserve"> </w:t>
      </w:r>
      <w:r>
        <w:rPr>
          <w:rFonts w:ascii="宋体" w:hAnsi="宋体" w:eastAsia="宋体" w:cs="宋体"/>
          <w:color w:val="auto"/>
          <w:sz w:val="24"/>
          <w:szCs w:val="24"/>
          <w:highlight w:val="none"/>
        </w:rPr>
        <w:t>投标人的报价明显低于其他投标报价，使得其</w:t>
      </w:r>
      <w:r>
        <w:rPr>
          <w:rFonts w:ascii="宋体" w:hAnsi="宋体" w:eastAsia="宋体" w:cs="宋体"/>
          <w:color w:val="auto"/>
          <w:spacing w:val="-1"/>
          <w:sz w:val="24"/>
          <w:szCs w:val="24"/>
          <w:highlight w:val="none"/>
        </w:rPr>
        <w:t>投标报价可能低于其个别成本的，要求投标人作出书面说明并提供相关证明材料</w:t>
      </w:r>
      <w:r>
        <w:rPr>
          <w:rFonts w:ascii="宋体" w:hAnsi="宋体" w:eastAsia="宋体" w:cs="宋体"/>
          <w:color w:val="auto"/>
          <w:spacing w:val="-2"/>
          <w:sz w:val="24"/>
          <w:szCs w:val="24"/>
          <w:highlight w:val="none"/>
        </w:rPr>
        <w:t>，但投标人不能合理说明或者不能提供相关证明</w:t>
      </w:r>
      <w:r>
        <w:rPr>
          <w:rFonts w:ascii="宋体" w:hAnsi="宋体" w:eastAsia="宋体" w:cs="宋体"/>
          <w:color w:val="auto"/>
          <w:spacing w:val="-1"/>
          <w:sz w:val="24"/>
          <w:szCs w:val="24"/>
          <w:highlight w:val="none"/>
        </w:rPr>
        <w:t>材料，评标委员会认定该投标人以低于成本报价竞标的；</w:t>
      </w:r>
    </w:p>
    <w:p w14:paraId="57940337">
      <w:pPr>
        <w:keepNext w:val="0"/>
        <w:keepLines w:val="0"/>
        <w:pageBreakBefore w:val="0"/>
        <w:widowControl/>
        <w:kinsoku w:val="0"/>
        <w:wordWrap/>
        <w:overflowPunct/>
        <w:topLinePunct w:val="0"/>
        <w:autoSpaceDE w:val="0"/>
        <w:autoSpaceDN w:val="0"/>
        <w:bidi w:val="0"/>
        <w:adjustRightInd w:val="0"/>
        <w:snapToGrid w:val="0"/>
        <w:spacing w:before="2" w:line="288" w:lineRule="auto"/>
        <w:ind w:left="1" w:right="0" w:firstLine="480"/>
        <w:textAlignment w:val="baseline"/>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2.9</w:t>
      </w:r>
      <w:r>
        <w:rPr>
          <w:rFonts w:ascii="宋体" w:hAnsi="宋体" w:eastAsia="宋体" w:cs="宋体"/>
          <w:color w:val="auto"/>
          <w:spacing w:val="-51"/>
          <w:sz w:val="24"/>
          <w:szCs w:val="24"/>
          <w:highlight w:val="none"/>
        </w:rPr>
        <w:t xml:space="preserve"> </w:t>
      </w:r>
      <w:r>
        <w:rPr>
          <w:rFonts w:ascii="宋体" w:hAnsi="宋体" w:eastAsia="宋体" w:cs="宋体"/>
          <w:color w:val="auto"/>
          <w:spacing w:val="1"/>
          <w:sz w:val="24"/>
          <w:szCs w:val="24"/>
          <w:highlight w:val="none"/>
        </w:rPr>
        <w:t>评标委员会根据评标办法对投标文件的计算错误进行修正后，</w:t>
      </w:r>
      <w:r>
        <w:rPr>
          <w:rFonts w:ascii="宋体" w:hAnsi="宋体" w:eastAsia="宋体" w:cs="宋体"/>
          <w:color w:val="auto"/>
          <w:sz w:val="24"/>
          <w:szCs w:val="24"/>
          <w:highlight w:val="none"/>
        </w:rPr>
        <w:t>投标人不接受修正</w:t>
      </w:r>
      <w:r>
        <w:rPr>
          <w:rFonts w:ascii="宋体" w:hAnsi="宋体" w:eastAsia="宋体" w:cs="宋体"/>
          <w:color w:val="auto"/>
          <w:spacing w:val="-2"/>
          <w:sz w:val="24"/>
          <w:szCs w:val="24"/>
          <w:highlight w:val="none"/>
        </w:rPr>
        <w:t>后的投标报价；</w:t>
      </w:r>
    </w:p>
    <w:p w14:paraId="10B01FFC">
      <w:pPr>
        <w:keepNext w:val="0"/>
        <w:keepLines w:val="0"/>
        <w:pageBreakBefore w:val="0"/>
        <w:widowControl/>
        <w:kinsoku w:val="0"/>
        <w:wordWrap/>
        <w:overflowPunct/>
        <w:topLinePunct w:val="0"/>
        <w:autoSpaceDE w:val="0"/>
        <w:autoSpaceDN w:val="0"/>
        <w:bidi w:val="0"/>
        <w:adjustRightInd w:val="0"/>
        <w:snapToGrid w:val="0"/>
        <w:spacing w:before="47" w:line="288" w:lineRule="auto"/>
        <w:ind w:left="480" w:right="0"/>
        <w:textAlignment w:val="baseline"/>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2.10</w:t>
      </w:r>
      <w:r>
        <w:rPr>
          <w:rFonts w:ascii="宋体" w:hAnsi="宋体" w:eastAsia="宋体" w:cs="宋体"/>
          <w:color w:val="auto"/>
          <w:spacing w:val="-48"/>
          <w:sz w:val="24"/>
          <w:szCs w:val="24"/>
          <w:highlight w:val="none"/>
        </w:rPr>
        <w:t xml:space="preserve"> </w:t>
      </w:r>
      <w:r>
        <w:rPr>
          <w:rFonts w:ascii="宋体" w:hAnsi="宋体" w:eastAsia="宋体" w:cs="宋体"/>
          <w:color w:val="auto"/>
          <w:spacing w:val="-1"/>
          <w:sz w:val="24"/>
          <w:szCs w:val="24"/>
          <w:highlight w:val="none"/>
        </w:rPr>
        <w:t>投标文件不符合招标文件评标办法前附表的要求；</w:t>
      </w:r>
    </w:p>
    <w:p w14:paraId="1F286300">
      <w:pPr>
        <w:pStyle w:val="8"/>
        <w:ind w:firstLine="476"/>
        <w:rPr>
          <w:rFonts w:hint="default" w:ascii="宋体" w:hAnsi="宋体" w:eastAsia="宋体" w:cs="宋体"/>
          <w:color w:val="auto"/>
          <w:spacing w:val="-1"/>
          <w:sz w:val="24"/>
          <w:szCs w:val="24"/>
          <w:highlight w:val="none"/>
          <w:lang w:val="en-US" w:eastAsia="en-US"/>
        </w:rPr>
      </w:pPr>
      <w:r>
        <w:rPr>
          <w:rFonts w:hint="default" w:ascii="宋体" w:hAnsi="宋体" w:eastAsia="宋体" w:cs="宋体"/>
          <w:color w:val="auto"/>
          <w:spacing w:val="-1"/>
          <w:sz w:val="24"/>
          <w:szCs w:val="24"/>
          <w:highlight w:val="none"/>
          <w:lang w:val="en-US" w:eastAsia="en-US"/>
        </w:rPr>
        <w:t>2.11“顺德区第一联围水体综合整治工程--西片（一期）、顺德区第一联围水体综合整治工程--东北片（一期）、顺德区齐杏联围水体综合整治工程--农村生活污水治理优化提升工程、顺德区樵桑联围水体综合整治工程--农村生活污水治理优化提升工程及顺德区中顺大围、南沙围联围水体综合整治工程-均安镇农村生活污水处理优化提升工程（四期）排查、设计咨询”</w:t>
      </w:r>
      <w:r>
        <w:rPr>
          <w:rFonts w:hint="eastAsia" w:ascii="宋体" w:hAnsi="宋体" w:eastAsia="宋体" w:cs="宋体"/>
          <w:color w:val="auto"/>
          <w:spacing w:val="-1"/>
          <w:sz w:val="24"/>
          <w:szCs w:val="24"/>
          <w:highlight w:val="none"/>
          <w:lang w:val="en-US" w:eastAsia="zh-CN"/>
        </w:rPr>
        <w:t>及“第三批联围农村生活污水治理优化提升工程监理服务”</w:t>
      </w:r>
      <w:r>
        <w:rPr>
          <w:rFonts w:hint="default" w:ascii="宋体" w:hAnsi="宋体" w:eastAsia="宋体" w:cs="宋体"/>
          <w:color w:val="auto"/>
          <w:spacing w:val="-1"/>
          <w:sz w:val="24"/>
          <w:szCs w:val="24"/>
          <w:highlight w:val="none"/>
          <w:lang w:val="en-US" w:eastAsia="en-US"/>
        </w:rPr>
        <w:t>的中标单位、中标单位全资子公司、中标单位母公司以及与中标单位具有控股或参股关系的单位参与投标时，其投标将被否决。</w:t>
      </w:r>
    </w:p>
    <w:p w14:paraId="0C6B3CD6">
      <w:pPr>
        <w:pStyle w:val="8"/>
        <w:rPr>
          <w:rFonts w:hint="default" w:eastAsia="宋体"/>
          <w:color w:val="auto"/>
          <w:highlight w:val="none"/>
          <w:lang w:val="en-US" w:eastAsia="zh-CN"/>
        </w:rPr>
      </w:pPr>
    </w:p>
    <w:p w14:paraId="1B0A8420">
      <w:pPr>
        <w:pStyle w:val="10"/>
        <w:keepNext w:val="0"/>
        <w:keepLines w:val="0"/>
        <w:pageBreakBefore w:val="0"/>
        <w:widowControl/>
        <w:kinsoku w:val="0"/>
        <w:wordWrap/>
        <w:overflowPunct/>
        <w:topLinePunct w:val="0"/>
        <w:autoSpaceDE w:val="0"/>
        <w:autoSpaceDN w:val="0"/>
        <w:bidi w:val="0"/>
        <w:adjustRightInd w:val="0"/>
        <w:snapToGrid w:val="0"/>
        <w:spacing w:line="244" w:lineRule="auto"/>
        <w:ind w:right="0"/>
        <w:textAlignment w:val="baseline"/>
        <w:rPr>
          <w:color w:val="auto"/>
          <w:highlight w:val="none"/>
        </w:rPr>
      </w:pPr>
    </w:p>
    <w:p w14:paraId="59E34896">
      <w:pPr>
        <w:pStyle w:val="10"/>
        <w:keepNext w:val="0"/>
        <w:keepLines w:val="0"/>
        <w:pageBreakBefore w:val="0"/>
        <w:widowControl/>
        <w:kinsoku w:val="0"/>
        <w:wordWrap/>
        <w:overflowPunct/>
        <w:topLinePunct w:val="0"/>
        <w:autoSpaceDE w:val="0"/>
        <w:autoSpaceDN w:val="0"/>
        <w:bidi w:val="0"/>
        <w:adjustRightInd w:val="0"/>
        <w:snapToGrid w:val="0"/>
        <w:spacing w:line="244" w:lineRule="auto"/>
        <w:ind w:right="0"/>
        <w:textAlignment w:val="baseline"/>
        <w:rPr>
          <w:color w:val="auto"/>
          <w:highlight w:val="none"/>
        </w:rPr>
      </w:pPr>
    </w:p>
    <w:p w14:paraId="0207621D">
      <w:pPr>
        <w:pStyle w:val="10"/>
        <w:keepNext w:val="0"/>
        <w:keepLines w:val="0"/>
        <w:pageBreakBefore w:val="0"/>
        <w:widowControl/>
        <w:kinsoku w:val="0"/>
        <w:wordWrap/>
        <w:overflowPunct/>
        <w:topLinePunct w:val="0"/>
        <w:autoSpaceDE w:val="0"/>
        <w:autoSpaceDN w:val="0"/>
        <w:bidi w:val="0"/>
        <w:adjustRightInd w:val="0"/>
        <w:snapToGrid w:val="0"/>
        <w:spacing w:line="244" w:lineRule="auto"/>
        <w:ind w:right="0"/>
        <w:textAlignment w:val="baseline"/>
        <w:rPr>
          <w:color w:val="auto"/>
          <w:highlight w:val="none"/>
        </w:rPr>
      </w:pPr>
    </w:p>
    <w:p w14:paraId="4E2C9573">
      <w:pPr>
        <w:pStyle w:val="10"/>
        <w:pageBreakBefore w:val="0"/>
        <w:overflowPunct/>
        <w:bidi w:val="0"/>
        <w:spacing w:line="244" w:lineRule="auto"/>
        <w:ind w:right="0"/>
        <w:rPr>
          <w:color w:val="auto"/>
          <w:highlight w:val="none"/>
        </w:rPr>
      </w:pPr>
    </w:p>
    <w:p w14:paraId="761B796B">
      <w:pPr>
        <w:pStyle w:val="10"/>
        <w:pageBreakBefore w:val="0"/>
        <w:overflowPunct/>
        <w:bidi w:val="0"/>
        <w:spacing w:line="244" w:lineRule="auto"/>
        <w:ind w:right="0"/>
        <w:rPr>
          <w:color w:val="auto"/>
          <w:highlight w:val="none"/>
        </w:rPr>
      </w:pPr>
    </w:p>
    <w:p w14:paraId="0FEB2F12">
      <w:pPr>
        <w:pStyle w:val="10"/>
        <w:pageBreakBefore w:val="0"/>
        <w:overflowPunct/>
        <w:bidi w:val="0"/>
        <w:spacing w:line="244" w:lineRule="auto"/>
        <w:ind w:right="0"/>
        <w:rPr>
          <w:color w:val="auto"/>
          <w:highlight w:val="none"/>
        </w:rPr>
      </w:pPr>
    </w:p>
    <w:p w14:paraId="320BD726">
      <w:pPr>
        <w:pStyle w:val="10"/>
        <w:pageBreakBefore w:val="0"/>
        <w:overflowPunct/>
        <w:bidi w:val="0"/>
        <w:spacing w:line="244" w:lineRule="auto"/>
        <w:ind w:right="0"/>
        <w:rPr>
          <w:color w:val="auto"/>
          <w:highlight w:val="none"/>
        </w:rPr>
      </w:pPr>
    </w:p>
    <w:p w14:paraId="49DA569E">
      <w:pPr>
        <w:pStyle w:val="10"/>
        <w:pageBreakBefore w:val="0"/>
        <w:overflowPunct/>
        <w:bidi w:val="0"/>
        <w:spacing w:line="244" w:lineRule="auto"/>
        <w:ind w:right="0"/>
        <w:rPr>
          <w:color w:val="auto"/>
          <w:highlight w:val="none"/>
        </w:rPr>
      </w:pPr>
    </w:p>
    <w:p w14:paraId="50832578">
      <w:pPr>
        <w:pStyle w:val="10"/>
        <w:pageBreakBefore w:val="0"/>
        <w:overflowPunct/>
        <w:bidi w:val="0"/>
        <w:spacing w:line="244" w:lineRule="auto"/>
        <w:ind w:right="0"/>
        <w:rPr>
          <w:color w:val="auto"/>
          <w:highlight w:val="none"/>
        </w:rPr>
      </w:pPr>
    </w:p>
    <w:p w14:paraId="3601A22D">
      <w:pPr>
        <w:pStyle w:val="10"/>
        <w:pageBreakBefore w:val="0"/>
        <w:overflowPunct/>
        <w:bidi w:val="0"/>
        <w:spacing w:line="244" w:lineRule="auto"/>
        <w:ind w:right="0"/>
        <w:rPr>
          <w:color w:val="auto"/>
          <w:highlight w:val="none"/>
        </w:rPr>
      </w:pPr>
    </w:p>
    <w:p w14:paraId="318133AD">
      <w:pPr>
        <w:pStyle w:val="10"/>
        <w:pageBreakBefore w:val="0"/>
        <w:overflowPunct/>
        <w:bidi w:val="0"/>
        <w:spacing w:line="244" w:lineRule="auto"/>
        <w:ind w:right="0"/>
        <w:rPr>
          <w:color w:val="auto"/>
          <w:highlight w:val="none"/>
        </w:rPr>
      </w:pPr>
    </w:p>
    <w:p w14:paraId="0A22B5EB">
      <w:pPr>
        <w:pStyle w:val="10"/>
        <w:pageBreakBefore w:val="0"/>
        <w:overflowPunct/>
        <w:bidi w:val="0"/>
        <w:spacing w:line="244" w:lineRule="auto"/>
        <w:ind w:right="0"/>
        <w:rPr>
          <w:color w:val="auto"/>
          <w:highlight w:val="none"/>
        </w:rPr>
      </w:pPr>
    </w:p>
    <w:p w14:paraId="0BFE3AC9">
      <w:pPr>
        <w:pStyle w:val="10"/>
        <w:pageBreakBefore w:val="0"/>
        <w:overflowPunct/>
        <w:bidi w:val="0"/>
        <w:spacing w:line="244" w:lineRule="auto"/>
        <w:ind w:right="0"/>
        <w:rPr>
          <w:color w:val="auto"/>
          <w:highlight w:val="none"/>
        </w:rPr>
      </w:pPr>
    </w:p>
    <w:p w14:paraId="126A1DC7">
      <w:pPr>
        <w:pStyle w:val="10"/>
        <w:pageBreakBefore w:val="0"/>
        <w:overflowPunct/>
        <w:bidi w:val="0"/>
        <w:spacing w:line="244" w:lineRule="auto"/>
        <w:ind w:right="0"/>
        <w:rPr>
          <w:color w:val="auto"/>
          <w:highlight w:val="none"/>
        </w:rPr>
      </w:pPr>
    </w:p>
    <w:p w14:paraId="1D883BD8">
      <w:pPr>
        <w:pStyle w:val="10"/>
        <w:pageBreakBefore w:val="0"/>
        <w:overflowPunct/>
        <w:bidi w:val="0"/>
        <w:spacing w:line="244" w:lineRule="auto"/>
        <w:ind w:right="0"/>
        <w:rPr>
          <w:color w:val="auto"/>
          <w:highlight w:val="none"/>
        </w:rPr>
      </w:pPr>
    </w:p>
    <w:p w14:paraId="38219612">
      <w:pPr>
        <w:pStyle w:val="10"/>
        <w:pageBreakBefore w:val="0"/>
        <w:overflowPunct/>
        <w:bidi w:val="0"/>
        <w:spacing w:line="244" w:lineRule="auto"/>
        <w:ind w:right="0"/>
        <w:rPr>
          <w:color w:val="auto"/>
          <w:highlight w:val="none"/>
        </w:rPr>
      </w:pPr>
    </w:p>
    <w:p w14:paraId="45058D03">
      <w:pPr>
        <w:pStyle w:val="10"/>
        <w:pageBreakBefore w:val="0"/>
        <w:overflowPunct/>
        <w:bidi w:val="0"/>
        <w:spacing w:line="245" w:lineRule="auto"/>
        <w:ind w:right="0"/>
        <w:rPr>
          <w:color w:val="auto"/>
          <w:highlight w:val="none"/>
        </w:rPr>
      </w:pPr>
    </w:p>
    <w:p w14:paraId="479F18B2">
      <w:pPr>
        <w:pStyle w:val="10"/>
        <w:pageBreakBefore w:val="0"/>
        <w:overflowPunct/>
        <w:bidi w:val="0"/>
        <w:spacing w:line="245" w:lineRule="auto"/>
        <w:ind w:right="0"/>
        <w:rPr>
          <w:color w:val="auto"/>
          <w:highlight w:val="none"/>
        </w:rPr>
      </w:pPr>
    </w:p>
    <w:p w14:paraId="472EACB8">
      <w:pPr>
        <w:pStyle w:val="10"/>
        <w:pageBreakBefore w:val="0"/>
        <w:overflowPunct/>
        <w:bidi w:val="0"/>
        <w:spacing w:line="245" w:lineRule="auto"/>
        <w:ind w:right="0"/>
        <w:rPr>
          <w:color w:val="auto"/>
          <w:highlight w:val="none"/>
        </w:rPr>
      </w:pPr>
    </w:p>
    <w:p w14:paraId="5B5051A6">
      <w:pPr>
        <w:pStyle w:val="10"/>
        <w:pageBreakBefore w:val="0"/>
        <w:overflowPunct/>
        <w:bidi w:val="0"/>
        <w:spacing w:line="245" w:lineRule="auto"/>
        <w:ind w:right="0"/>
        <w:rPr>
          <w:color w:val="auto"/>
          <w:highlight w:val="none"/>
        </w:rPr>
      </w:pPr>
    </w:p>
    <w:p w14:paraId="539E9743">
      <w:pPr>
        <w:pStyle w:val="10"/>
        <w:pageBreakBefore w:val="0"/>
        <w:overflowPunct/>
        <w:bidi w:val="0"/>
        <w:spacing w:line="245" w:lineRule="auto"/>
        <w:ind w:right="0"/>
        <w:rPr>
          <w:color w:val="auto"/>
          <w:highlight w:val="none"/>
        </w:rPr>
      </w:pPr>
    </w:p>
    <w:p w14:paraId="215ACDF2">
      <w:pPr>
        <w:pStyle w:val="10"/>
        <w:pageBreakBefore w:val="0"/>
        <w:overflowPunct/>
        <w:bidi w:val="0"/>
        <w:spacing w:line="245" w:lineRule="auto"/>
        <w:ind w:right="0"/>
        <w:rPr>
          <w:color w:val="auto"/>
          <w:highlight w:val="none"/>
        </w:rPr>
      </w:pPr>
    </w:p>
    <w:p w14:paraId="01DB871B">
      <w:pPr>
        <w:pStyle w:val="10"/>
        <w:pageBreakBefore w:val="0"/>
        <w:overflowPunct/>
        <w:bidi w:val="0"/>
        <w:spacing w:line="245" w:lineRule="auto"/>
        <w:ind w:right="0"/>
        <w:rPr>
          <w:color w:val="auto"/>
          <w:highlight w:val="none"/>
        </w:rPr>
      </w:pPr>
    </w:p>
    <w:p w14:paraId="2F5785DC">
      <w:pPr>
        <w:pStyle w:val="10"/>
        <w:pageBreakBefore w:val="0"/>
        <w:overflowPunct/>
        <w:bidi w:val="0"/>
        <w:spacing w:line="245" w:lineRule="auto"/>
        <w:ind w:right="0"/>
        <w:rPr>
          <w:color w:val="auto"/>
          <w:highlight w:val="none"/>
        </w:rPr>
      </w:pPr>
    </w:p>
    <w:p w14:paraId="3DE11C28">
      <w:pPr>
        <w:pStyle w:val="10"/>
        <w:pageBreakBefore w:val="0"/>
        <w:overflowPunct/>
        <w:bidi w:val="0"/>
        <w:spacing w:line="245" w:lineRule="auto"/>
        <w:ind w:right="0"/>
        <w:rPr>
          <w:color w:val="auto"/>
          <w:highlight w:val="none"/>
        </w:rPr>
      </w:pPr>
    </w:p>
    <w:p w14:paraId="5E316C31">
      <w:pPr>
        <w:pageBreakBefore w:val="0"/>
        <w:overflowPunct/>
        <w:bidi w:val="0"/>
        <w:spacing w:line="2381" w:lineRule="exact"/>
        <w:ind w:right="0" w:firstLine="10225"/>
        <w:rPr>
          <w:color w:val="auto"/>
          <w:highlight w:val="none"/>
        </w:rPr>
      </w:pPr>
    </w:p>
    <w:p w14:paraId="13ABDC98">
      <w:pPr>
        <w:pageBreakBefore w:val="0"/>
        <w:overflowPunct/>
        <w:bidi w:val="0"/>
        <w:spacing w:line="2381" w:lineRule="exact"/>
        <w:ind w:right="0"/>
        <w:rPr>
          <w:color w:val="auto"/>
          <w:highlight w:val="none"/>
        </w:rPr>
        <w:sectPr>
          <w:footerReference r:id="rId6" w:type="default"/>
          <w:pgSz w:w="11906" w:h="16839"/>
          <w:pgMar w:top="1417" w:right="850" w:bottom="1417" w:left="1088" w:header="0" w:footer="886" w:gutter="0"/>
          <w:pgNumType w:fmt="decimal" w:start="1"/>
          <w:cols w:space="720" w:num="1"/>
        </w:sectPr>
      </w:pPr>
    </w:p>
    <w:p w14:paraId="06B0B9BB">
      <w:pPr>
        <w:pStyle w:val="10"/>
        <w:pageBreakBefore w:val="0"/>
        <w:overflowPunct/>
        <w:bidi w:val="0"/>
        <w:spacing w:line="192" w:lineRule="exact"/>
        <w:ind w:right="0"/>
        <w:rPr>
          <w:color w:val="auto"/>
          <w:sz w:val="16"/>
          <w:highlight w:val="none"/>
        </w:rPr>
      </w:pPr>
    </w:p>
    <w:p w14:paraId="4826DFC2">
      <w:pPr>
        <w:pStyle w:val="4"/>
        <w:pageBreakBefore w:val="0"/>
        <w:overflowPunct/>
        <w:bidi w:val="0"/>
        <w:spacing w:line="320" w:lineRule="exact"/>
        <w:ind w:right="0"/>
        <w:rPr>
          <w:rFonts w:hint="eastAsia"/>
          <w:color w:val="auto"/>
          <w:highlight w:val="none"/>
        </w:rPr>
      </w:pPr>
      <w:bookmarkStart w:id="10" w:name="_Toc30963"/>
      <w:bookmarkStart w:id="11" w:name="_Toc9220"/>
      <w:bookmarkStart w:id="12" w:name="_Toc8158"/>
      <w:bookmarkStart w:id="13" w:name="_Toc26112"/>
      <w:bookmarkStart w:id="14" w:name="_Toc23135"/>
      <w:bookmarkStart w:id="15" w:name="_Toc6798"/>
      <w:bookmarkStart w:id="16" w:name="_Toc14306"/>
      <w:bookmarkStart w:id="17" w:name="_Toc24793"/>
      <w:bookmarkStart w:id="18" w:name="_Toc14863"/>
      <w:bookmarkStart w:id="19" w:name="_Toc19701"/>
      <w:r>
        <w:rPr>
          <w:rFonts w:hint="eastAsia"/>
          <w:color w:val="auto"/>
          <w:highlight w:val="none"/>
        </w:rPr>
        <w:t>第二章 招标公告</w:t>
      </w:r>
      <w:bookmarkEnd w:id="10"/>
      <w:bookmarkEnd w:id="11"/>
      <w:bookmarkEnd w:id="12"/>
      <w:bookmarkEnd w:id="13"/>
      <w:bookmarkEnd w:id="14"/>
      <w:bookmarkEnd w:id="15"/>
      <w:bookmarkEnd w:id="16"/>
      <w:bookmarkEnd w:id="17"/>
      <w:bookmarkEnd w:id="18"/>
      <w:bookmarkEnd w:id="19"/>
    </w:p>
    <w:tbl>
      <w:tblPr>
        <w:tblStyle w:val="17"/>
        <w:tblW w:w="9692" w:type="dxa"/>
        <w:jc w:val="center"/>
        <w:tblLayout w:type="fixed"/>
        <w:tblCellMar>
          <w:top w:w="0" w:type="dxa"/>
          <w:left w:w="108" w:type="dxa"/>
          <w:bottom w:w="0" w:type="dxa"/>
          <w:right w:w="108" w:type="dxa"/>
        </w:tblCellMar>
      </w:tblPr>
      <w:tblGrid>
        <w:gridCol w:w="1843"/>
        <w:gridCol w:w="2035"/>
        <w:gridCol w:w="1107"/>
        <w:gridCol w:w="1264"/>
        <w:gridCol w:w="3443"/>
      </w:tblGrid>
      <w:tr w14:paraId="6C72460B">
        <w:tblPrEx>
          <w:tblCellMar>
            <w:top w:w="0" w:type="dxa"/>
            <w:left w:w="108" w:type="dxa"/>
            <w:bottom w:w="0" w:type="dxa"/>
            <w:right w:w="108" w:type="dxa"/>
          </w:tblCellMar>
        </w:tblPrEx>
        <w:trPr>
          <w:trHeight w:val="560"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6B4C51EC">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投资项目代码</w:t>
            </w:r>
          </w:p>
        </w:tc>
        <w:tc>
          <w:tcPr>
            <w:tcW w:w="7849" w:type="dxa"/>
            <w:gridSpan w:val="4"/>
            <w:tcBorders>
              <w:top w:val="single" w:color="auto" w:sz="4" w:space="0"/>
              <w:left w:val="single" w:color="auto" w:sz="4" w:space="0"/>
              <w:bottom w:val="single" w:color="auto" w:sz="4" w:space="0"/>
              <w:right w:val="single" w:color="auto" w:sz="4" w:space="0"/>
            </w:tcBorders>
            <w:noWrap w:val="0"/>
            <w:vAlign w:val="center"/>
          </w:tcPr>
          <w:p w14:paraId="0C54E7B3">
            <w:pPr>
              <w:pageBreakBefore w:val="0"/>
              <w:widowControl/>
              <w:overflowPunct/>
              <w:bidi w:val="0"/>
              <w:spacing w:line="320" w:lineRule="exact"/>
              <w:ind w:right="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2406-440606-04-01-990513</w:t>
            </w:r>
          </w:p>
        </w:tc>
      </w:tr>
      <w:tr w14:paraId="70DFF426">
        <w:tblPrEx>
          <w:tblCellMar>
            <w:top w:w="0" w:type="dxa"/>
            <w:left w:w="108" w:type="dxa"/>
            <w:bottom w:w="0" w:type="dxa"/>
            <w:right w:w="108" w:type="dxa"/>
          </w:tblCellMar>
        </w:tblPrEx>
        <w:trPr>
          <w:trHeight w:val="90"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77E93617">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招标条件</w:t>
            </w:r>
          </w:p>
        </w:tc>
        <w:tc>
          <w:tcPr>
            <w:tcW w:w="7849" w:type="dxa"/>
            <w:gridSpan w:val="4"/>
            <w:tcBorders>
              <w:top w:val="single" w:color="auto" w:sz="4" w:space="0"/>
              <w:left w:val="single" w:color="auto" w:sz="4" w:space="0"/>
              <w:bottom w:val="single" w:color="auto" w:sz="4" w:space="0"/>
              <w:right w:val="single" w:color="auto" w:sz="4" w:space="0"/>
            </w:tcBorders>
            <w:noWrap w:val="0"/>
            <w:vAlign w:val="center"/>
          </w:tcPr>
          <w:p w14:paraId="365AFDEC">
            <w:pPr>
              <w:pageBreakBefore w:val="0"/>
              <w:widowControl/>
              <w:overflowPunct/>
              <w:bidi w:val="0"/>
              <w:spacing w:line="320" w:lineRule="exact"/>
              <w:ind w:right="0"/>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w:t>
            </w:r>
            <w:r>
              <w:rPr>
                <w:rFonts w:hint="eastAsia" w:asciiTheme="minorEastAsia" w:hAnsiTheme="minorEastAsia" w:eastAsiaTheme="minorEastAsia" w:cstheme="minorEastAsia"/>
                <w:color w:val="auto"/>
                <w:highlight w:val="none"/>
                <w:u w:val="single"/>
                <w:lang w:val="en-US" w:eastAsia="zh-CN"/>
              </w:rPr>
              <w:t>佛山顺德粤港澳协同发展合作区排水管网建设及改造工程</w:t>
            </w:r>
            <w:r>
              <w:rPr>
                <w:rFonts w:hint="eastAsia" w:asciiTheme="minorEastAsia" w:hAnsiTheme="minorEastAsia" w:eastAsiaTheme="minorEastAsia" w:cstheme="minorEastAsia"/>
                <w:color w:val="auto"/>
                <w:highlight w:val="none"/>
                <w:u w:val="single"/>
                <w:lang w:val="en-US" w:eastAsia="en-US"/>
              </w:rPr>
              <w:t xml:space="preserve"> </w:t>
            </w:r>
            <w:r>
              <w:rPr>
                <w:rFonts w:hint="eastAsia" w:asciiTheme="minorEastAsia" w:hAnsiTheme="minorEastAsia" w:eastAsiaTheme="minorEastAsia" w:cstheme="minorEastAsia"/>
                <w:color w:val="auto"/>
                <w:highlight w:val="none"/>
                <w:lang w:val="en-US" w:eastAsia="en-US"/>
              </w:rPr>
              <w:t>已由</w:t>
            </w:r>
            <w:r>
              <w:rPr>
                <w:rFonts w:hint="eastAsia" w:asciiTheme="minorEastAsia" w:hAnsiTheme="minorEastAsia" w:eastAsiaTheme="minorEastAsia" w:cstheme="minorEastAsia"/>
                <w:color w:val="auto"/>
                <w:highlight w:val="none"/>
                <w:u w:val="single"/>
                <w:lang w:val="en-US" w:eastAsia="en-US"/>
              </w:rPr>
              <w:t xml:space="preserve"> </w:t>
            </w:r>
            <w:r>
              <w:rPr>
                <w:rFonts w:hint="eastAsia" w:asciiTheme="minorEastAsia" w:hAnsiTheme="minorEastAsia" w:eastAsiaTheme="minorEastAsia" w:cstheme="minorEastAsia"/>
                <w:color w:val="auto"/>
                <w:highlight w:val="none"/>
                <w:u w:val="single"/>
                <w:lang w:val="en-US" w:eastAsia="zh-CN"/>
              </w:rPr>
              <w:t>佛山市顺德区发展和改革局</w:t>
            </w:r>
            <w:r>
              <w:rPr>
                <w:rFonts w:hint="eastAsia" w:asciiTheme="minorEastAsia" w:hAnsiTheme="minorEastAsia" w:eastAsiaTheme="minorEastAsia" w:cstheme="minorEastAsia"/>
                <w:color w:val="auto"/>
                <w:highlight w:val="none"/>
                <w:u w:val="single"/>
                <w:lang w:val="en-US" w:eastAsia="en-US"/>
              </w:rPr>
              <w:t xml:space="preserve"> </w:t>
            </w:r>
            <w:r>
              <w:rPr>
                <w:rFonts w:hint="eastAsia" w:asciiTheme="minorEastAsia" w:hAnsiTheme="minorEastAsia" w:eastAsiaTheme="minorEastAsia" w:cstheme="minorEastAsia"/>
                <w:color w:val="auto"/>
                <w:highlight w:val="none"/>
                <w:lang w:val="en-US" w:eastAsia="en-US"/>
              </w:rPr>
              <w:t>以</w:t>
            </w:r>
            <w:r>
              <w:rPr>
                <w:rFonts w:hint="eastAsia" w:asciiTheme="minorEastAsia" w:hAnsiTheme="minorEastAsia" w:eastAsiaTheme="minorEastAsia" w:cstheme="minorEastAsia"/>
                <w:color w:val="auto"/>
                <w:highlight w:val="none"/>
                <w:u w:val="single"/>
                <w:lang w:val="en-US" w:eastAsia="en-US"/>
              </w:rPr>
              <w:t xml:space="preserve"> </w:t>
            </w:r>
            <w:r>
              <w:rPr>
                <w:rFonts w:hint="eastAsia" w:asciiTheme="minorEastAsia" w:hAnsiTheme="minorEastAsia" w:eastAsiaTheme="minorEastAsia" w:cstheme="minorEastAsia"/>
                <w:color w:val="auto"/>
                <w:highlight w:val="none"/>
                <w:u w:val="single"/>
                <w:lang w:val="en-US" w:eastAsia="zh-CN"/>
              </w:rPr>
              <w:t>顺发改投审〔2024〕2 号</w:t>
            </w:r>
            <w:r>
              <w:rPr>
                <w:rFonts w:hint="eastAsia" w:asciiTheme="minorEastAsia" w:hAnsiTheme="minorEastAsia" w:eastAsiaTheme="minorEastAsia" w:cstheme="minorEastAsia"/>
                <w:color w:val="auto"/>
                <w:highlight w:val="none"/>
                <w:lang w:val="en-US" w:eastAsia="en-US"/>
              </w:rPr>
              <w:t>批准建设</w:t>
            </w:r>
            <w:r>
              <w:rPr>
                <w:rFonts w:hint="eastAsia" w:asciiTheme="minorEastAsia" w:hAnsiTheme="minorEastAsia" w:eastAsiaTheme="minorEastAsia" w:cstheme="minorEastAsia"/>
                <w:color w:val="auto"/>
                <w:highlight w:val="none"/>
                <w:lang w:val="en-US" w:eastAsia="zh-CN"/>
              </w:rPr>
              <w:t>。</w:t>
            </w:r>
          </w:p>
          <w:p w14:paraId="465B6A3B">
            <w:pPr>
              <w:pageBreakBefore w:val="0"/>
              <w:widowControl/>
              <w:overflowPunct/>
              <w:bidi w:val="0"/>
              <w:spacing w:line="320" w:lineRule="exact"/>
              <w:ind w:right="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en-US"/>
              </w:rPr>
              <w:t>2.本招标项目</w:t>
            </w:r>
            <w:r>
              <w:rPr>
                <w:rFonts w:hint="eastAsia" w:asciiTheme="minorEastAsia" w:hAnsiTheme="minorEastAsia" w:eastAsiaTheme="minorEastAsia" w:cstheme="minorEastAsia"/>
                <w:color w:val="auto"/>
                <w:highlight w:val="none"/>
                <w:u w:val="single"/>
                <w:lang w:val="en-US" w:eastAsia="zh-CN"/>
              </w:rPr>
              <w:t>佛山顺德粤港澳协同发展合作区排水管网建设及改造工程（二期、三期、四期）水土保持监测</w:t>
            </w:r>
            <w:r>
              <w:rPr>
                <w:rFonts w:hint="eastAsia" w:asciiTheme="minorEastAsia" w:hAnsiTheme="minorEastAsia" w:eastAsiaTheme="minorEastAsia" w:cstheme="minorEastAsia"/>
                <w:color w:val="auto"/>
                <w:highlight w:val="none"/>
                <w:lang w:val="en-US" w:eastAsia="en-US"/>
              </w:rPr>
              <w:t>已具备招标条件，现进行公开招标。</w:t>
            </w:r>
          </w:p>
        </w:tc>
      </w:tr>
      <w:tr w14:paraId="79F85DEF">
        <w:tblPrEx>
          <w:tblCellMar>
            <w:top w:w="0" w:type="dxa"/>
            <w:left w:w="108" w:type="dxa"/>
            <w:bottom w:w="0" w:type="dxa"/>
            <w:right w:w="108" w:type="dxa"/>
          </w:tblCellMar>
        </w:tblPrEx>
        <w:trPr>
          <w:trHeight w:val="561"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2F7BECF4">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投资项目名称</w:t>
            </w:r>
          </w:p>
        </w:tc>
        <w:tc>
          <w:tcPr>
            <w:tcW w:w="7849" w:type="dxa"/>
            <w:gridSpan w:val="4"/>
            <w:tcBorders>
              <w:top w:val="single" w:color="auto" w:sz="4" w:space="0"/>
              <w:left w:val="single" w:color="auto" w:sz="4" w:space="0"/>
              <w:bottom w:val="single" w:color="auto" w:sz="4" w:space="0"/>
              <w:right w:val="single" w:color="auto" w:sz="4" w:space="0"/>
            </w:tcBorders>
            <w:noWrap w:val="0"/>
            <w:vAlign w:val="center"/>
          </w:tcPr>
          <w:p w14:paraId="258ADE85">
            <w:pPr>
              <w:pageBreakBefore w:val="0"/>
              <w:widowControl/>
              <w:overflowPunct/>
              <w:bidi w:val="0"/>
              <w:spacing w:line="320" w:lineRule="exact"/>
              <w:ind w:right="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 w:val="21"/>
                <w:szCs w:val="21"/>
                <w:highlight w:val="none"/>
                <w:lang w:eastAsia="zh-CN" w:bidi="ar"/>
              </w:rPr>
              <w:t>佛山顺德粤港澳协同发展合作区排水管网建设及改造工程</w:t>
            </w:r>
          </w:p>
        </w:tc>
      </w:tr>
      <w:tr w14:paraId="60550B28">
        <w:tblPrEx>
          <w:tblCellMar>
            <w:top w:w="0" w:type="dxa"/>
            <w:left w:w="108" w:type="dxa"/>
            <w:bottom w:w="0" w:type="dxa"/>
            <w:right w:w="108" w:type="dxa"/>
          </w:tblCellMar>
        </w:tblPrEx>
        <w:trPr>
          <w:trHeight w:val="561"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6C1A5982">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招标项目名称</w:t>
            </w:r>
          </w:p>
        </w:tc>
        <w:tc>
          <w:tcPr>
            <w:tcW w:w="7849" w:type="dxa"/>
            <w:gridSpan w:val="4"/>
            <w:tcBorders>
              <w:top w:val="single" w:color="auto" w:sz="4" w:space="0"/>
              <w:left w:val="single" w:color="auto" w:sz="4" w:space="0"/>
              <w:bottom w:val="single" w:color="auto" w:sz="4" w:space="0"/>
              <w:right w:val="single" w:color="auto" w:sz="4" w:space="0"/>
            </w:tcBorders>
            <w:noWrap w:val="0"/>
            <w:vAlign w:val="center"/>
          </w:tcPr>
          <w:p w14:paraId="7D7EC250">
            <w:pPr>
              <w:pageBreakBefore w:val="0"/>
              <w:widowControl/>
              <w:overflowPunct/>
              <w:bidi w:val="0"/>
              <w:spacing w:line="320" w:lineRule="exact"/>
              <w:ind w:right="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佛山顺德粤港澳协同发展合作区排水管网建设及改造工程（二期、三期、四期）水土保持监测</w:t>
            </w:r>
          </w:p>
        </w:tc>
      </w:tr>
      <w:tr w14:paraId="3583024C">
        <w:tblPrEx>
          <w:tblCellMar>
            <w:top w:w="0" w:type="dxa"/>
            <w:left w:w="108" w:type="dxa"/>
            <w:bottom w:w="0" w:type="dxa"/>
            <w:right w:w="108" w:type="dxa"/>
          </w:tblCellMar>
        </w:tblPrEx>
        <w:trPr>
          <w:trHeight w:val="560" w:hRule="atLeast"/>
          <w:jc w:val="center"/>
        </w:trPr>
        <w:tc>
          <w:tcPr>
            <w:tcW w:w="1843" w:type="dxa"/>
            <w:tcBorders>
              <w:top w:val="single" w:color="auto" w:sz="4" w:space="0"/>
              <w:left w:val="single" w:color="000000" w:sz="4" w:space="0"/>
              <w:bottom w:val="single" w:color="000000" w:sz="4" w:space="0"/>
              <w:right w:val="single" w:color="000000" w:sz="4" w:space="0"/>
            </w:tcBorders>
            <w:noWrap w:val="0"/>
            <w:vAlign w:val="center"/>
          </w:tcPr>
          <w:p w14:paraId="690C1776">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标段（包）名称</w:t>
            </w:r>
          </w:p>
        </w:tc>
        <w:tc>
          <w:tcPr>
            <w:tcW w:w="2035" w:type="dxa"/>
            <w:tcBorders>
              <w:top w:val="single" w:color="auto" w:sz="4" w:space="0"/>
              <w:left w:val="single" w:color="000000" w:sz="4" w:space="0"/>
              <w:bottom w:val="single" w:color="000000" w:sz="4" w:space="0"/>
              <w:right w:val="single" w:color="000000" w:sz="4" w:space="0"/>
            </w:tcBorders>
            <w:noWrap w:val="0"/>
            <w:vAlign w:val="center"/>
          </w:tcPr>
          <w:p w14:paraId="70C77342">
            <w:pPr>
              <w:pageBreakBefore w:val="0"/>
              <w:widowControl/>
              <w:overflowPunct/>
              <w:bidi w:val="0"/>
              <w:spacing w:line="320" w:lineRule="exact"/>
              <w:ind w:right="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佛山顺德粤港澳协同发展合作区排水管网建设及改造工程（二期、三期、四期）水土保持监测</w:t>
            </w:r>
          </w:p>
        </w:tc>
        <w:tc>
          <w:tcPr>
            <w:tcW w:w="1107" w:type="dxa"/>
            <w:tcBorders>
              <w:top w:val="single" w:color="auto" w:sz="4" w:space="0"/>
              <w:left w:val="single" w:color="000000" w:sz="4" w:space="0"/>
              <w:bottom w:val="single" w:color="000000" w:sz="4" w:space="0"/>
              <w:right w:val="single" w:color="000000" w:sz="4" w:space="0"/>
            </w:tcBorders>
            <w:noWrap w:val="0"/>
            <w:vAlign w:val="center"/>
          </w:tcPr>
          <w:p w14:paraId="66C6C4A4">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公告性质</w:t>
            </w:r>
          </w:p>
        </w:tc>
        <w:tc>
          <w:tcPr>
            <w:tcW w:w="4707" w:type="dxa"/>
            <w:gridSpan w:val="2"/>
            <w:tcBorders>
              <w:top w:val="single" w:color="auto" w:sz="4" w:space="0"/>
              <w:left w:val="single" w:color="000000" w:sz="4" w:space="0"/>
              <w:bottom w:val="single" w:color="000000" w:sz="4" w:space="0"/>
              <w:right w:val="single" w:color="000000" w:sz="4" w:space="0"/>
            </w:tcBorders>
            <w:noWrap w:val="0"/>
            <w:vAlign w:val="center"/>
          </w:tcPr>
          <w:p w14:paraId="1843880F">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sym w:font="Wingdings 2" w:char="F052"/>
            </w:r>
            <w:r>
              <w:rPr>
                <w:rFonts w:hint="eastAsia" w:asciiTheme="minorEastAsia" w:hAnsiTheme="minorEastAsia" w:eastAsiaTheme="minorEastAsia" w:cstheme="minorEastAsia"/>
                <w:color w:val="auto"/>
                <w:szCs w:val="21"/>
                <w:highlight w:val="none"/>
              </w:rPr>
              <w:t>正常/</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更正</w:t>
            </w:r>
          </w:p>
        </w:tc>
      </w:tr>
      <w:tr w14:paraId="3566D744">
        <w:tblPrEx>
          <w:tblCellMar>
            <w:top w:w="0" w:type="dxa"/>
            <w:left w:w="108" w:type="dxa"/>
            <w:bottom w:w="0" w:type="dxa"/>
            <w:right w:w="108" w:type="dxa"/>
          </w:tblCellMar>
        </w:tblPrEx>
        <w:trPr>
          <w:trHeight w:val="561" w:hRule="atLeast"/>
          <w:jc w:val="center"/>
        </w:trPr>
        <w:tc>
          <w:tcPr>
            <w:tcW w:w="1843" w:type="dxa"/>
            <w:tcBorders>
              <w:top w:val="single" w:color="auto" w:sz="4" w:space="0"/>
              <w:left w:val="single" w:color="000000" w:sz="4" w:space="0"/>
              <w:bottom w:val="single" w:color="000000" w:sz="4" w:space="0"/>
              <w:right w:val="single" w:color="000000" w:sz="4" w:space="0"/>
            </w:tcBorders>
            <w:noWrap w:val="0"/>
            <w:vAlign w:val="center"/>
          </w:tcPr>
          <w:p w14:paraId="5470D945">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资格审查方式</w:t>
            </w:r>
          </w:p>
        </w:tc>
        <w:tc>
          <w:tcPr>
            <w:tcW w:w="2035" w:type="dxa"/>
            <w:tcBorders>
              <w:top w:val="single" w:color="auto" w:sz="4" w:space="0"/>
              <w:left w:val="single" w:color="000000" w:sz="4" w:space="0"/>
              <w:bottom w:val="single" w:color="000000" w:sz="4" w:space="0"/>
              <w:right w:val="single" w:color="000000" w:sz="4" w:space="0"/>
            </w:tcBorders>
            <w:noWrap w:val="0"/>
            <w:vAlign w:val="center"/>
          </w:tcPr>
          <w:p w14:paraId="0252DE55">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资格后审</w:t>
            </w:r>
          </w:p>
        </w:tc>
        <w:tc>
          <w:tcPr>
            <w:tcW w:w="1107" w:type="dxa"/>
            <w:tcBorders>
              <w:top w:val="single" w:color="auto" w:sz="4" w:space="0"/>
              <w:left w:val="single" w:color="000000" w:sz="4" w:space="0"/>
              <w:bottom w:val="single" w:color="000000" w:sz="4" w:space="0"/>
              <w:right w:val="single" w:color="000000" w:sz="4" w:space="0"/>
            </w:tcBorders>
            <w:noWrap w:val="0"/>
            <w:vAlign w:val="center"/>
          </w:tcPr>
          <w:p w14:paraId="32AE7472">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项目编号</w:t>
            </w:r>
          </w:p>
        </w:tc>
        <w:tc>
          <w:tcPr>
            <w:tcW w:w="4707" w:type="dxa"/>
            <w:gridSpan w:val="2"/>
            <w:tcBorders>
              <w:top w:val="single" w:color="auto" w:sz="4" w:space="0"/>
              <w:left w:val="single" w:color="000000" w:sz="4" w:space="0"/>
              <w:bottom w:val="single" w:color="000000" w:sz="4" w:space="0"/>
              <w:right w:val="single" w:color="000000" w:sz="4" w:space="0"/>
            </w:tcBorders>
            <w:noWrap w:val="0"/>
            <w:vAlign w:val="center"/>
          </w:tcPr>
          <w:p w14:paraId="6BD39A53">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Z11-440606-2026-0004-001-2026-01</w:t>
            </w:r>
            <w:bookmarkStart w:id="125" w:name="_GoBack"/>
            <w:bookmarkEnd w:id="125"/>
          </w:p>
        </w:tc>
      </w:tr>
      <w:tr w14:paraId="438FD117">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031D9C47">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招标项目实施</w:t>
            </w:r>
          </w:p>
          <w:p w14:paraId="09CBF40C">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（交货）地点</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71B28E8A">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佛山市顺德区</w:t>
            </w:r>
          </w:p>
        </w:tc>
      </w:tr>
      <w:tr w14:paraId="40EC05DC">
        <w:tblPrEx>
          <w:tblCellMar>
            <w:top w:w="0" w:type="dxa"/>
            <w:left w:w="108" w:type="dxa"/>
            <w:bottom w:w="0" w:type="dxa"/>
            <w:right w:w="108" w:type="dxa"/>
          </w:tblCellMar>
        </w:tblPrEx>
        <w:trPr>
          <w:trHeight w:val="56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5C43C85F">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资金来源</w:t>
            </w:r>
          </w:p>
        </w:tc>
        <w:tc>
          <w:tcPr>
            <w:tcW w:w="2035" w:type="dxa"/>
            <w:tcBorders>
              <w:top w:val="single" w:color="000000" w:sz="4" w:space="0"/>
              <w:left w:val="single" w:color="000000" w:sz="4" w:space="0"/>
              <w:bottom w:val="single" w:color="000000" w:sz="4" w:space="0"/>
              <w:right w:val="nil"/>
            </w:tcBorders>
            <w:noWrap w:val="0"/>
            <w:vAlign w:val="center"/>
          </w:tcPr>
          <w:p w14:paraId="729266C8">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color w:val="auto"/>
                <w:sz w:val="21"/>
                <w:szCs w:val="21"/>
                <w:highlight w:val="none"/>
                <w:lang w:val="en-US" w:eastAsia="zh-CN"/>
              </w:rPr>
              <w:t>财政资金、企业自筹</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1490A222">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资金来源构成</w:t>
            </w:r>
          </w:p>
        </w:tc>
        <w:tc>
          <w:tcPr>
            <w:tcW w:w="4707" w:type="dxa"/>
            <w:gridSpan w:val="2"/>
            <w:tcBorders>
              <w:top w:val="single" w:color="000000" w:sz="4" w:space="0"/>
              <w:left w:val="nil"/>
              <w:bottom w:val="single" w:color="000000" w:sz="4" w:space="0"/>
              <w:right w:val="single" w:color="000000" w:sz="4" w:space="0"/>
            </w:tcBorders>
            <w:noWrap w:val="0"/>
            <w:vAlign w:val="center"/>
          </w:tcPr>
          <w:p w14:paraId="35506F1E">
            <w:pPr>
              <w:pageBreakBefore w:val="0"/>
              <w:widowControl/>
              <w:overflowPunct/>
              <w:bidi w:val="0"/>
              <w:spacing w:line="320" w:lineRule="exact"/>
              <w:ind w:right="0"/>
              <w:jc w:val="left"/>
              <w:rPr>
                <w:rFonts w:hint="eastAsia" w:asciiTheme="minorEastAsia" w:hAnsiTheme="minorEastAsia" w:eastAsiaTheme="minorEastAsia" w:cstheme="minorEastAsia"/>
                <w:color w:val="auto"/>
                <w:szCs w:val="21"/>
                <w:highlight w:val="none"/>
              </w:rPr>
            </w:pPr>
            <w:r>
              <w:rPr>
                <w:rFonts w:hint="eastAsia" w:ascii="宋体" w:hAnsi="宋体" w:eastAsia="宋体" w:cs="宋体"/>
                <w:color w:val="auto"/>
                <w:kern w:val="2"/>
                <w:sz w:val="21"/>
                <w:szCs w:val="21"/>
                <w:highlight w:val="none"/>
                <w:lang w:val="en-US" w:eastAsia="zh-CN" w:bidi="ar-SA"/>
              </w:rPr>
              <w:t>国有资金：5.72%,私有资金:0%,外国政府及组织投资：0%,境外私人投资：0%,政府投资:94.28%,其他国有:0%</w:t>
            </w:r>
          </w:p>
        </w:tc>
      </w:tr>
      <w:tr w14:paraId="496AE906">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192688F4">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招标范围及规模</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1F2FD019">
            <w:pPr>
              <w:pStyle w:val="24"/>
              <w:keepNext w:val="0"/>
              <w:keepLines w:val="0"/>
              <w:pageBreakBefore w:val="0"/>
              <w:widowControl w:val="0"/>
              <w:numPr>
                <w:ilvl w:val="0"/>
                <w:numId w:val="1"/>
              </w:numPr>
              <w:kinsoku/>
              <w:wordWrap/>
              <w:overflowPunct/>
              <w:topLinePunct w:val="0"/>
              <w:autoSpaceDE/>
              <w:autoSpaceDN/>
              <w:bidi w:val="0"/>
              <w:adjustRightInd/>
              <w:snapToGrid/>
              <w:spacing w:line="400" w:lineRule="exact"/>
              <w:ind w:right="0"/>
              <w:textAlignment w:val="auto"/>
              <w:rPr>
                <w:rFonts w:hint="eastAsia" w:ascii="宋体" w:hAnsi="宋体" w:eastAsia="宋体" w:cs="宋体"/>
                <w:color w:val="auto"/>
                <w:sz w:val="21"/>
                <w:szCs w:val="21"/>
                <w:highlight w:val="none"/>
                <w:u w:val="single"/>
                <w:lang w:val="en-US" w:eastAsia="zh-CN"/>
              </w:rPr>
            </w:pPr>
            <w:r>
              <w:rPr>
                <w:rFonts w:hint="eastAsia" w:asciiTheme="minorEastAsia" w:hAnsiTheme="minorEastAsia" w:eastAsiaTheme="minorEastAsia" w:cstheme="minorEastAsia"/>
                <w:color w:val="auto"/>
                <w:highlight w:val="none"/>
              </w:rPr>
              <w:t>项目建设规模：</w:t>
            </w:r>
            <w:r>
              <w:rPr>
                <w:rFonts w:hint="eastAsia" w:ascii="宋体" w:hAnsi="宋体" w:eastAsia="宋体" w:cs="宋体"/>
                <w:color w:val="auto"/>
                <w:sz w:val="21"/>
                <w:szCs w:val="21"/>
                <w:highlight w:val="none"/>
                <w:u w:val="single"/>
                <w:lang w:val="en-US" w:eastAsia="zh-CN"/>
              </w:rPr>
              <w:t>本项目包含</w:t>
            </w:r>
            <w:r>
              <w:rPr>
                <w:rFonts w:hint="eastAsia" w:ascii="宋体" w:hAnsi="宋体" w:eastAsia="宋体" w:cs="宋体"/>
                <w:color w:val="auto"/>
                <w:kern w:val="0"/>
                <w:sz w:val="21"/>
                <w:szCs w:val="21"/>
                <w:highlight w:val="none"/>
                <w:u w:val="single"/>
                <w:lang w:val="en-US" w:eastAsia="zh-CN" w:bidi="ar-SA"/>
              </w:rPr>
              <w:t>顺德区樵桑联围排水管网新建及改造工程、顺德区中顺大围、南沙围联围排水管网新建及改造工程、佛山顺德粤港澳协同发展合作区排水管网建设及改造工程-顺德区第一联围西片排水管网新建及改造工程（一期）工程</w:t>
            </w:r>
            <w:r>
              <w:rPr>
                <w:rFonts w:hint="eastAsia" w:ascii="宋体" w:hAnsi="宋体" w:cs="宋体"/>
                <w:color w:val="auto"/>
                <w:kern w:val="0"/>
                <w:sz w:val="21"/>
                <w:szCs w:val="21"/>
                <w:highlight w:val="none"/>
                <w:u w:val="single"/>
                <w:lang w:val="en-US" w:eastAsia="zh-CN" w:bidi="ar-SA"/>
              </w:rPr>
              <w:t>、</w:t>
            </w:r>
            <w:r>
              <w:rPr>
                <w:rFonts w:hint="eastAsia" w:ascii="宋体" w:hAnsi="宋体" w:eastAsia="宋体" w:cs="宋体"/>
                <w:color w:val="auto"/>
                <w:kern w:val="0"/>
                <w:sz w:val="21"/>
                <w:szCs w:val="21"/>
                <w:highlight w:val="none"/>
                <w:u w:val="single"/>
                <w:lang w:val="en-US" w:eastAsia="zh-CN" w:bidi="ar-SA"/>
              </w:rPr>
              <w:t>佛山顺德粤港澳协同发展合作区排水管网建设及改造工程—顺德区第一联围东北片排水管网新建及改造工程（一期）</w:t>
            </w:r>
            <w:r>
              <w:rPr>
                <w:rFonts w:hint="eastAsia" w:ascii="宋体" w:hAnsi="宋体" w:eastAsia="宋体" w:cs="宋体"/>
                <w:color w:val="auto"/>
                <w:sz w:val="21"/>
                <w:szCs w:val="21"/>
                <w:highlight w:val="none"/>
                <w:u w:val="single"/>
                <w:lang w:val="en-US" w:eastAsia="zh-CN"/>
              </w:rPr>
              <w:t>和</w:t>
            </w:r>
            <w:r>
              <w:rPr>
                <w:rFonts w:hint="eastAsia" w:ascii="宋体" w:hAnsi="宋体" w:eastAsia="宋体" w:cs="宋体"/>
                <w:color w:val="auto"/>
                <w:kern w:val="0"/>
                <w:sz w:val="21"/>
                <w:szCs w:val="21"/>
                <w:highlight w:val="none"/>
                <w:u w:val="single"/>
                <w:lang w:val="en-US" w:eastAsia="zh-CN" w:bidi="ar-SA"/>
              </w:rPr>
              <w:t>佛山顺德粤港澳协同发展合作区排水管网建设及改造工程—顺德区齐杏联围排水管网新建及改造工程，主要建设内容包括市政排水管网完善工程、排水单元管网完善工程、排水设施更新改造工程、截流设施改造和防倒灌工程、存量排水管网改造工程、内涝风险点整治工程、河涌清淤工</w:t>
            </w:r>
            <w:r>
              <w:rPr>
                <w:rFonts w:hint="eastAsia" w:ascii="宋体" w:hAnsi="宋体" w:eastAsia="宋体" w:cs="宋体"/>
                <w:color w:val="auto"/>
                <w:kern w:val="2"/>
                <w:sz w:val="21"/>
                <w:szCs w:val="21"/>
                <w:highlight w:val="none"/>
                <w:u w:val="single"/>
                <w:lang w:val="en-US" w:eastAsia="zh-CN" w:bidi="ar-SA"/>
              </w:rPr>
              <w:t>程、暗涵清淤工程、水动力构建工程</w:t>
            </w:r>
            <w:r>
              <w:rPr>
                <w:rFonts w:hint="eastAsia" w:ascii="宋体" w:hAnsi="宋体" w:eastAsia="宋体" w:cs="宋体"/>
                <w:color w:val="auto"/>
                <w:sz w:val="21"/>
                <w:szCs w:val="21"/>
                <w:highlight w:val="none"/>
                <w:u w:val="single"/>
                <w:lang w:val="en-US" w:eastAsia="zh-CN"/>
              </w:rPr>
              <w:t>、城乡排涝通道建设工程等。</w:t>
            </w:r>
          </w:p>
          <w:p w14:paraId="0520FB8E">
            <w:pPr>
              <w:pStyle w:val="24"/>
              <w:widowControl w:val="0"/>
              <w:numPr>
                <w:ilvl w:val="0"/>
                <w:numId w:val="1"/>
              </w:numPr>
              <w:kinsoku/>
              <w:autoSpaceDE/>
              <w:autoSpaceDN/>
              <w:adjustRightInd/>
              <w:snapToGrid/>
              <w:spacing w:line="400" w:lineRule="exact"/>
              <w:textAlignment w:val="auto"/>
              <w:rPr>
                <w:rFonts w:hint="eastAsia" w:ascii="宋体" w:hAnsi="宋体" w:eastAsia="宋体" w:cs="宋体"/>
                <w:color w:val="auto"/>
                <w:szCs w:val="21"/>
                <w:highlight w:val="none"/>
                <w:u w:val="single"/>
              </w:rPr>
            </w:pPr>
            <w:r>
              <w:rPr>
                <w:rFonts w:hint="eastAsia" w:ascii="宋体" w:hAnsi="宋体" w:eastAsia="宋体" w:cs="宋体"/>
                <w:color w:val="auto"/>
                <w:sz w:val="21"/>
                <w:szCs w:val="21"/>
                <w:highlight w:val="none"/>
                <w:u w:val="single"/>
                <w:lang w:val="en-US" w:eastAsia="zh-CN"/>
              </w:rPr>
              <w:t>招标人有权根据实际情况对建设规模、内容进行调整，招标人对减少或取消的工程量或项目不予费用补偿，中标人已在投标报价时综合考虑。</w:t>
            </w:r>
          </w:p>
          <w:p w14:paraId="31A95DD7">
            <w:pPr>
              <w:pStyle w:val="24"/>
              <w:pageBreakBefore w:val="0"/>
              <w:overflowPunct/>
              <w:bidi w:val="0"/>
              <w:spacing w:line="400" w:lineRule="exact"/>
              <w:ind w:right="0"/>
              <w:rPr>
                <w:rFonts w:hint="default" w:asciiTheme="minorEastAsia" w:hAnsiTheme="minorEastAsia" w:eastAsiaTheme="minorEastAsia" w:cstheme="minorEastAsia"/>
                <w:color w:val="auto"/>
                <w:highlight w:val="none"/>
                <w:u w:val="single"/>
                <w:lang w:val="en-US" w:eastAsia="zh-CN"/>
              </w:rPr>
            </w:pPr>
            <w:r>
              <w:rPr>
                <w:rFonts w:hint="eastAsia" w:asciiTheme="minorEastAsia" w:hAnsiTheme="minorEastAsia" w:eastAsia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lang w:val="en-US" w:eastAsia="en-US"/>
              </w:rPr>
              <w:t>.</w:t>
            </w:r>
            <w:r>
              <w:rPr>
                <w:rFonts w:hint="eastAsia" w:asciiTheme="minorEastAsia" w:hAnsiTheme="minorEastAsia" w:eastAsiaTheme="minorEastAsia" w:cstheme="minorEastAsia"/>
                <w:color w:val="auto"/>
                <w:highlight w:val="none"/>
              </w:rPr>
              <w:t>本招标项目共分</w:t>
            </w:r>
            <w:r>
              <w:rPr>
                <w:rFonts w:hint="eastAsia" w:asciiTheme="minorEastAsia" w:hAnsiTheme="minorEastAsia" w:eastAsiaTheme="minorEastAsia" w:cstheme="minorEastAsia"/>
                <w:color w:val="auto"/>
                <w:highlight w:val="none"/>
                <w:lang w:val="en-US" w:eastAsia="zh-CN"/>
              </w:rPr>
              <w:t>1</w:t>
            </w:r>
            <w:r>
              <w:rPr>
                <w:rFonts w:hint="eastAsia" w:asciiTheme="minorEastAsia" w:hAnsiTheme="minorEastAsia" w:eastAsiaTheme="minorEastAsia" w:cstheme="minorEastAsia"/>
                <w:color w:val="auto"/>
                <w:highlight w:val="none"/>
              </w:rPr>
              <w:t>个标段，各标段招标内容、规模：</w:t>
            </w:r>
            <w:r>
              <w:rPr>
                <w:rFonts w:hint="eastAsia" w:asciiTheme="minorEastAsia" w:hAnsiTheme="minorEastAsia" w:eastAsiaTheme="minorEastAsia" w:cstheme="minorEastAsia"/>
                <w:color w:val="auto"/>
                <w:highlight w:val="none"/>
                <w:u w:val="single"/>
              </w:rPr>
              <w:t>具体见“招标内容”。</w:t>
            </w:r>
          </w:p>
        </w:tc>
      </w:tr>
      <w:tr w14:paraId="4041C003">
        <w:tblPrEx>
          <w:tblCellMar>
            <w:top w:w="0" w:type="dxa"/>
            <w:left w:w="108" w:type="dxa"/>
            <w:bottom w:w="0" w:type="dxa"/>
            <w:right w:w="108" w:type="dxa"/>
          </w:tblCellMar>
        </w:tblPrEx>
        <w:trPr>
          <w:trHeight w:val="56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4F063316">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招标内容</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0A3C0A4B">
            <w:pPr>
              <w:pageBreakBefore w:val="0"/>
              <w:widowControl/>
              <w:overflowPunct/>
              <w:bidi w:val="0"/>
              <w:spacing w:line="400" w:lineRule="exact"/>
              <w:ind w:right="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佛山顺德粤港澳协同发展合作区排水管网建设及改造工程（二期、三期、四期）</w:t>
            </w:r>
            <w:r>
              <w:rPr>
                <w:rFonts w:hint="eastAsia" w:asciiTheme="minorEastAsia" w:hAnsiTheme="minorEastAsia" w:eastAsiaTheme="minorEastAsia" w:cstheme="minorEastAsia"/>
                <w:color w:val="auto"/>
                <w:szCs w:val="21"/>
                <w:highlight w:val="none"/>
                <w:lang w:val="en-US" w:eastAsia="zh-CN"/>
              </w:rPr>
              <w:t>项目</w:t>
            </w:r>
            <w:r>
              <w:rPr>
                <w:rFonts w:hint="eastAsia" w:asciiTheme="minorEastAsia" w:hAnsiTheme="minorEastAsia" w:eastAsiaTheme="minorEastAsia" w:cstheme="minorEastAsia"/>
                <w:color w:val="auto"/>
                <w:spacing w:val="9"/>
                <w:highlight w:val="none"/>
              </w:rPr>
              <w:t>范围</w:t>
            </w:r>
            <w:r>
              <w:rPr>
                <w:rFonts w:hint="eastAsia" w:asciiTheme="minorEastAsia" w:hAnsiTheme="minorEastAsia" w:eastAsiaTheme="minorEastAsia" w:cstheme="minorEastAsia"/>
                <w:color w:val="auto"/>
                <w:spacing w:val="0"/>
                <w:highlight w:val="none"/>
              </w:rPr>
              <w:t>内的</w:t>
            </w:r>
            <w:r>
              <w:rPr>
                <w:rFonts w:hint="eastAsia" w:asciiTheme="minorEastAsia" w:hAnsiTheme="minorEastAsia" w:eastAsiaTheme="minorEastAsia" w:cstheme="minorEastAsia"/>
                <w:color w:val="auto"/>
                <w:sz w:val="21"/>
                <w:szCs w:val="21"/>
                <w:highlight w:val="none"/>
              </w:rPr>
              <w:t>水土施工期监测服务</w:t>
            </w:r>
            <w:r>
              <w:rPr>
                <w:rFonts w:hint="eastAsia" w:asciiTheme="minorEastAsia" w:hAnsiTheme="minorEastAsia" w:eastAsiaTheme="minorEastAsia" w:cstheme="minorEastAsia"/>
                <w:color w:val="auto"/>
                <w:spacing w:val="9"/>
                <w:highlight w:val="none"/>
              </w:rPr>
              <w:t>（具体以合同约定为准）</w:t>
            </w:r>
            <w:r>
              <w:rPr>
                <w:rFonts w:hint="eastAsia" w:asciiTheme="minorEastAsia" w:hAnsiTheme="minorEastAsia" w:eastAsiaTheme="minorEastAsia" w:cstheme="minorEastAsia"/>
                <w:color w:val="auto"/>
                <w:spacing w:val="9"/>
                <w:highlight w:val="none"/>
                <w:lang w:eastAsia="zh-CN"/>
              </w:rPr>
              <w:t>。</w:t>
            </w:r>
          </w:p>
        </w:tc>
      </w:tr>
      <w:tr w14:paraId="25E8788F">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4B745AC3">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工期（交货期）</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42CB44DA">
            <w:pPr>
              <w:pStyle w:val="24"/>
              <w:keepNext w:val="0"/>
              <w:keepLines w:val="0"/>
              <w:pageBreakBefore w:val="0"/>
              <w:wordWrap w:val="0"/>
              <w:overflowPunct/>
              <w:topLinePunct/>
              <w:bidi w:val="0"/>
              <w:spacing w:line="400" w:lineRule="exact"/>
              <w:ind w:right="0"/>
              <w:rPr>
                <w:rFonts w:hint="eastAsia" w:asciiTheme="minorEastAsia" w:hAnsiTheme="minorEastAsia" w:eastAsiaTheme="minorEastAsia" w:cstheme="minorEastAsia"/>
                <w:color w:val="auto"/>
                <w:kern w:val="0"/>
                <w:szCs w:val="21"/>
                <w:highlight w:val="none"/>
                <w:lang w:val="en-US" w:eastAsia="zh-CN" w:bidi="ar"/>
              </w:rPr>
            </w:pPr>
            <w:r>
              <w:rPr>
                <w:rFonts w:hint="eastAsia" w:asciiTheme="minorEastAsia" w:hAnsiTheme="minorEastAsia" w:eastAsiaTheme="minorEastAsia" w:cstheme="minorEastAsia"/>
                <w:color w:val="auto"/>
                <w:highlight w:val="none"/>
                <w:lang w:val="en-US" w:eastAsia="zh-CN"/>
              </w:rPr>
              <w:t>合同签订后，项目开工至竣工验收且向行政主管部门提交备案资料并满足行政主管部门核查资料要求为止。 因招标人施工延期、停工、资料滞后、政策调整、主管部门审查原因造成工期延长，监测服务期限相应顺延。</w:t>
            </w:r>
          </w:p>
        </w:tc>
      </w:tr>
      <w:tr w14:paraId="33DFD300">
        <w:tblPrEx>
          <w:tblCellMar>
            <w:top w:w="0" w:type="dxa"/>
            <w:left w:w="108" w:type="dxa"/>
            <w:bottom w:w="0" w:type="dxa"/>
            <w:right w:w="108" w:type="dxa"/>
          </w:tblCellMar>
        </w:tblPrEx>
        <w:trPr>
          <w:trHeight w:val="668"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783E602B">
            <w:pPr>
              <w:pageBreakBefore w:val="0"/>
              <w:overflowPunct/>
              <w:bidi w:val="0"/>
              <w:ind w:right="0"/>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招标控制价（最高投标限价）</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72AEBBF4">
            <w:pPr>
              <w:keepNext w:val="0"/>
              <w:keepLines w:val="0"/>
              <w:pageBreakBefore w:val="0"/>
              <w:widowControl/>
              <w:overflowPunct/>
              <w:bidi w:val="0"/>
              <w:spacing w:line="240" w:lineRule="auto"/>
              <w:ind w:right="0"/>
              <w:jc w:val="center"/>
              <w:rPr>
                <w:rFonts w:hint="eastAsia" w:asciiTheme="minorEastAsia" w:hAnsiTheme="minorEastAsia" w:eastAsiaTheme="minorEastAsia" w:cstheme="minorEastAsia"/>
                <w:color w:val="auto"/>
                <w:szCs w:val="21"/>
                <w:highlight w:val="none"/>
                <w:lang w:val="en-US" w:eastAsia="zh-CN"/>
              </w:rPr>
            </w:pPr>
            <w:r>
              <w:rPr>
                <w:rFonts w:hint="default" w:ascii="宋体" w:hAnsi="宋体" w:eastAsia="宋体"/>
                <w:color w:val="auto"/>
                <w:sz w:val="21"/>
                <w:szCs w:val="21"/>
                <w:highlight w:val="none"/>
                <w:lang w:val="en-US" w:eastAsia="zh-CN"/>
              </w:rPr>
              <w:t>979500.00</w:t>
            </w:r>
            <w:r>
              <w:rPr>
                <w:rFonts w:hint="eastAsia" w:asciiTheme="minorEastAsia" w:hAnsiTheme="minorEastAsia" w:eastAsiaTheme="minorEastAsia" w:cstheme="minorEastAsia"/>
                <w:color w:val="auto"/>
                <w:szCs w:val="21"/>
                <w:highlight w:val="none"/>
                <w:lang w:val="en-US" w:eastAsia="zh-CN"/>
              </w:rPr>
              <w:t>元</w:t>
            </w:r>
          </w:p>
        </w:tc>
      </w:tr>
      <w:tr w14:paraId="3FB63A4F">
        <w:tblPrEx>
          <w:tblCellMar>
            <w:top w:w="0" w:type="dxa"/>
            <w:left w:w="108" w:type="dxa"/>
            <w:bottom w:w="0" w:type="dxa"/>
            <w:right w:w="108" w:type="dxa"/>
          </w:tblCellMar>
        </w:tblPrEx>
        <w:trPr>
          <w:trHeight w:val="482"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58B2293E">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投标保证金</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22247CD4">
            <w:pPr>
              <w:keepNext w:val="0"/>
              <w:keepLines w:val="0"/>
              <w:pageBreakBefore w:val="0"/>
              <w:numPr>
                <w:ilvl w:val="0"/>
                <w:numId w:val="0"/>
              </w:numPr>
              <w:kinsoku/>
              <w:wordWrap/>
              <w:overflowPunct/>
              <w:topLinePunct w:val="0"/>
              <w:autoSpaceDE/>
              <w:autoSpaceDN/>
              <w:bidi w:val="0"/>
              <w:adjustRightInd/>
              <w:snapToGrid/>
              <w:spacing w:afterLines="0" w:line="312" w:lineRule="auto"/>
              <w:ind w:right="0"/>
              <w:jc w:val="center"/>
              <w:textAlignment w:val="auto"/>
              <w:rPr>
                <w:rFonts w:hint="eastAsia" w:asciiTheme="minorEastAsia" w:hAnsiTheme="minorEastAsia" w:eastAsiaTheme="minorEastAsia" w:cstheme="minorEastAsia"/>
                <w:color w:val="auto"/>
                <w:kern w:val="0"/>
                <w:szCs w:val="21"/>
                <w:highlight w:val="none"/>
                <w:lang w:bidi="ar"/>
              </w:rPr>
            </w:pPr>
            <w:r>
              <w:rPr>
                <w:rFonts w:hint="eastAsia" w:ascii="宋体" w:hAnsi="宋体" w:eastAsia="宋体"/>
                <w:b w:val="0"/>
                <w:bCs/>
                <w:color w:val="auto"/>
                <w:sz w:val="21"/>
                <w:szCs w:val="21"/>
                <w:highlight w:val="none"/>
                <w:u w:val="none"/>
                <w:lang w:val="en-US" w:eastAsia="zh-CN"/>
              </w:rPr>
              <w:t>0.00</w:t>
            </w:r>
            <w:r>
              <w:rPr>
                <w:rFonts w:hint="eastAsia" w:ascii="宋体" w:hAnsi="宋体"/>
                <w:b w:val="0"/>
                <w:bCs/>
                <w:color w:val="auto"/>
                <w:sz w:val="21"/>
                <w:szCs w:val="21"/>
                <w:highlight w:val="none"/>
                <w:lang w:eastAsia="zh-CN"/>
              </w:rPr>
              <w:t>元</w:t>
            </w:r>
          </w:p>
        </w:tc>
      </w:tr>
      <w:tr w14:paraId="6F7B674C">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6C52BF4C">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是否接受联合体投标</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3534E3AC">
            <w:pPr>
              <w:pageBreakBefore w:val="0"/>
              <w:widowControl/>
              <w:overflowPunct/>
              <w:bidi w:val="0"/>
              <w:spacing w:line="320" w:lineRule="exact"/>
              <w:ind w:right="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□是/</w:t>
            </w:r>
            <w:r>
              <w:rPr>
                <w:rFonts w:hint="eastAsia" w:asciiTheme="minorEastAsia" w:hAnsiTheme="minorEastAsia" w:eastAsiaTheme="minorEastAsia" w:cstheme="minorEastAsia"/>
                <w:color w:val="auto"/>
                <w:szCs w:val="21"/>
                <w:highlight w:val="none"/>
              </w:rPr>
              <w:sym w:font="Wingdings 2" w:char="F052"/>
            </w:r>
            <w:r>
              <w:rPr>
                <w:rFonts w:hint="eastAsia" w:asciiTheme="minorEastAsia" w:hAnsiTheme="minorEastAsia" w:eastAsiaTheme="minorEastAsia" w:cstheme="minorEastAsia"/>
                <w:color w:val="auto"/>
                <w:szCs w:val="21"/>
                <w:highlight w:val="none"/>
              </w:rPr>
              <w:t>否。</w:t>
            </w:r>
          </w:p>
        </w:tc>
      </w:tr>
      <w:tr w14:paraId="7CCBB844">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3D19E9E6">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投标资格能力要求（包括但不限于资质人员、业绩等要求）</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38EC988B">
            <w:pPr>
              <w:pageBreakBefore w:val="0"/>
              <w:overflowPunct/>
              <w:bidi w:val="0"/>
              <w:ind w:right="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1.法人资格</w:t>
            </w:r>
          </w:p>
          <w:p w14:paraId="1ECE5B82">
            <w:pPr>
              <w:pageBreakBefore w:val="0"/>
              <w:overflowPunct/>
              <w:bidi w:val="0"/>
              <w:ind w:right="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投标人须在中华人民共和国境内注册，且具备独立承担民事责任能力的法人或其它组织；投标人须提供有效的营业执照复印件并加盖投标人单位公章。</w:t>
            </w:r>
          </w:p>
          <w:p w14:paraId="06DA0AEA">
            <w:pPr>
              <w:pageBreakBefore w:val="0"/>
              <w:overflowPunct/>
              <w:bidi w:val="0"/>
              <w:ind w:right="0"/>
              <w:rPr>
                <w:rFonts w:hint="default"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rPr>
              <w:t>2.对投标人企业的资质要求</w:t>
            </w:r>
            <w:r>
              <w:rPr>
                <w:rFonts w:hint="eastAsia" w:asciiTheme="majorEastAsia" w:hAnsiTheme="majorEastAsia" w:eastAsiaTheme="majorEastAsia" w:cstheme="majorEastAsia"/>
                <w:color w:val="auto"/>
                <w:highlight w:val="none"/>
                <w:lang w:eastAsia="zh-CN"/>
              </w:rPr>
              <w:t>：</w:t>
            </w:r>
            <w:r>
              <w:rPr>
                <w:rFonts w:hint="eastAsia" w:asciiTheme="majorEastAsia" w:hAnsiTheme="majorEastAsia" w:eastAsiaTheme="majorEastAsia" w:cstheme="majorEastAsia"/>
                <w:color w:val="auto"/>
                <w:highlight w:val="none"/>
                <w:lang w:val="en-US" w:eastAsia="zh-CN"/>
              </w:rPr>
              <w:t>/</w:t>
            </w:r>
          </w:p>
          <w:p w14:paraId="4A0D1B76">
            <w:pPr>
              <w:pageBreakBefore w:val="0"/>
              <w:overflowPunct/>
              <w:bidi w:val="0"/>
              <w:ind w:right="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3.投标人须由法定代表人/负责人对《诚信投标承诺书》签字，并加盖单位公章。</w:t>
            </w:r>
          </w:p>
          <w:p w14:paraId="51CCF4C0">
            <w:pPr>
              <w:pageBreakBefore w:val="0"/>
              <w:overflowPunct/>
              <w:bidi w:val="0"/>
              <w:ind w:right="0"/>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4.对投标人企业的信誉要求</w:t>
            </w:r>
          </w:p>
          <w:p w14:paraId="5B811290">
            <w:pPr>
              <w:pageBreakBefore w:val="0"/>
              <w:overflowPunct/>
              <w:bidi w:val="0"/>
              <w:ind w:right="0"/>
              <w:rPr>
                <w:rFonts w:hint="eastAsia" w:asciiTheme="minorEastAsia" w:hAnsiTheme="minorEastAsia" w:eastAsiaTheme="minorEastAsia" w:cstheme="minorEastAsia"/>
                <w:color w:val="auto"/>
                <w:highlight w:val="none"/>
              </w:rPr>
            </w:pPr>
            <w:r>
              <w:rPr>
                <w:rFonts w:hint="eastAsia" w:asciiTheme="majorEastAsia" w:hAnsiTheme="majorEastAsia" w:eastAsiaTheme="majorEastAsia" w:cstheme="majorEastAsia"/>
                <w:color w:val="auto"/>
                <w:highlight w:val="none"/>
              </w:rPr>
              <w:t>投标人未被列入“信用中国”网站(</w:t>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"https://www.creditchina.gov.cn"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www.creditchina.gov.cn</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t>)“信用服务”中的“失信被执行人 ”、“重大税收违法失信主体 ”、“政府采购严重违法失信行为记录名单 ”；未处于中国政府采购网(</w:t>
            </w:r>
            <w:r>
              <w:rPr>
                <w:rFonts w:hint="eastAsia" w:asciiTheme="majorEastAsia" w:hAnsiTheme="majorEastAsia" w:eastAsiaTheme="majorEastAsia" w:cstheme="majorEastAsia"/>
                <w:color w:val="auto"/>
                <w:highlight w:val="none"/>
              </w:rPr>
              <w:fldChar w:fldCharType="begin"/>
            </w:r>
            <w:r>
              <w:rPr>
                <w:rFonts w:hint="eastAsia" w:asciiTheme="majorEastAsia" w:hAnsiTheme="majorEastAsia" w:eastAsiaTheme="majorEastAsia" w:cstheme="majorEastAsia"/>
                <w:color w:val="auto"/>
                <w:highlight w:val="none"/>
              </w:rPr>
              <w:instrText xml:space="preserve"> HYPERLINK "https://www.ccgp.gov.cn" </w:instrText>
            </w:r>
            <w:r>
              <w:rPr>
                <w:rFonts w:hint="eastAsia" w:asciiTheme="majorEastAsia" w:hAnsiTheme="majorEastAsia" w:eastAsiaTheme="majorEastAsia" w:cstheme="majorEastAsia"/>
                <w:color w:val="auto"/>
                <w:highlight w:val="none"/>
              </w:rPr>
              <w:fldChar w:fldCharType="separate"/>
            </w:r>
            <w:r>
              <w:rPr>
                <w:rFonts w:hint="eastAsia" w:asciiTheme="majorEastAsia" w:hAnsiTheme="majorEastAsia" w:eastAsiaTheme="majorEastAsia" w:cstheme="majorEastAsia"/>
                <w:color w:val="auto"/>
                <w:highlight w:val="none"/>
              </w:rPr>
              <w:t>www.ccgp.gov.cn</w:t>
            </w:r>
            <w:r>
              <w:rPr>
                <w:rFonts w:hint="eastAsia" w:asciiTheme="majorEastAsia" w:hAnsiTheme="majorEastAsia" w:eastAsiaTheme="majorEastAsia" w:cstheme="majorEastAsia"/>
                <w:color w:val="auto"/>
                <w:highlight w:val="none"/>
              </w:rPr>
              <w:fldChar w:fldCharType="end"/>
            </w:r>
            <w:r>
              <w:rPr>
                <w:rFonts w:hint="eastAsia" w:asciiTheme="majorEastAsia" w:hAnsiTheme="majorEastAsia" w:eastAsiaTheme="majorEastAsia" w:cstheme="majorEastAsia"/>
                <w:color w:val="auto"/>
                <w:highlight w:val="none"/>
              </w:rPr>
              <w:t>)“政府采购严重违法失信行为信息记录”中的禁止参加政府采购活动期间。（以招标代理机构于投标截止日当天在“信用中国 ”网站及“ 中国政府采购网 ”查询结果为准，如相关失信记录已失效，投标人需在投标时提供相关证明材料并加盖投标人单位公章，不提供则以“信用中国 ”网站及“ 中国政府采购网 ”查询结果为准）。</w:t>
            </w:r>
          </w:p>
        </w:tc>
      </w:tr>
      <w:tr w14:paraId="48AA013A">
        <w:tblPrEx>
          <w:tblCellMar>
            <w:top w:w="0" w:type="dxa"/>
            <w:left w:w="108" w:type="dxa"/>
            <w:bottom w:w="0" w:type="dxa"/>
            <w:right w:w="108" w:type="dxa"/>
          </w:tblCellMar>
        </w:tblPrEx>
        <w:trPr>
          <w:trHeight w:val="296"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395AF575">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投标资格能力要求的补充说明</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1891B363">
            <w:pPr>
              <w:pStyle w:val="23"/>
              <w:pageBreakBefore w:val="0"/>
              <w:widowControl w:val="0"/>
              <w:overflowPunct/>
              <w:bidi w:val="0"/>
              <w:spacing w:line="320" w:lineRule="exact"/>
              <w:ind w:right="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9"/>
                <w:highlight w:val="none"/>
              </w:rPr>
              <w:t>1.具体资质要求应当符合国家有关资质管理规定，</w:t>
            </w:r>
            <w:r>
              <w:rPr>
                <w:rFonts w:hint="eastAsia" w:asciiTheme="minorEastAsia" w:hAnsiTheme="minorEastAsia" w:eastAsiaTheme="minorEastAsia" w:cstheme="minorEastAsia"/>
                <w:color w:val="auto"/>
                <w:spacing w:val="8"/>
                <w:highlight w:val="none"/>
              </w:rPr>
              <w:t>具备行政主管部门核发的合法有效</w:t>
            </w:r>
            <w:r>
              <w:rPr>
                <w:rFonts w:hint="eastAsia" w:asciiTheme="minorEastAsia" w:hAnsiTheme="minorEastAsia" w:eastAsiaTheme="minorEastAsia" w:cstheme="minorEastAsia"/>
                <w:color w:val="auto"/>
                <w:spacing w:val="9"/>
                <w:highlight w:val="none"/>
              </w:rPr>
              <w:t>的资质证书，且资质类别、等级达到规定的要求和标准，不得提高</w:t>
            </w:r>
            <w:r>
              <w:rPr>
                <w:rFonts w:hint="eastAsia" w:asciiTheme="minorEastAsia" w:hAnsiTheme="minorEastAsia" w:eastAsiaTheme="minorEastAsia" w:cstheme="minorEastAsia"/>
                <w:color w:val="auto"/>
                <w:spacing w:val="8"/>
                <w:highlight w:val="none"/>
              </w:rPr>
              <w:t>资质等级。招标项目要求同时具备多项资质的，应当允许投标人采用联合体投标。</w:t>
            </w:r>
          </w:p>
        </w:tc>
      </w:tr>
      <w:tr w14:paraId="05CB7DBE">
        <w:tblPrEx>
          <w:tblCellMar>
            <w:top w:w="0" w:type="dxa"/>
            <w:left w:w="108" w:type="dxa"/>
            <w:bottom w:w="0" w:type="dxa"/>
            <w:right w:w="108" w:type="dxa"/>
          </w:tblCellMar>
        </w:tblPrEx>
        <w:trPr>
          <w:trHeight w:val="90" w:hRule="atLeast"/>
          <w:jc w:val="center"/>
        </w:trPr>
        <w:tc>
          <w:tcPr>
            <w:tcW w:w="1843" w:type="dxa"/>
            <w:vMerge w:val="restart"/>
            <w:tcBorders>
              <w:top w:val="single" w:color="000000" w:sz="4" w:space="0"/>
              <w:left w:val="single" w:color="000000" w:sz="4" w:space="0"/>
              <w:right w:val="single" w:color="000000" w:sz="4" w:space="0"/>
            </w:tcBorders>
            <w:noWrap w:val="0"/>
            <w:vAlign w:val="center"/>
          </w:tcPr>
          <w:p w14:paraId="563F3AF1">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是否采用电子</w:t>
            </w:r>
          </w:p>
          <w:p w14:paraId="3EA0168E">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招标投标方式</w:t>
            </w:r>
          </w:p>
        </w:tc>
        <w:tc>
          <w:tcPr>
            <w:tcW w:w="2035" w:type="dxa"/>
            <w:vMerge w:val="restart"/>
            <w:tcBorders>
              <w:top w:val="single" w:color="000000" w:sz="4" w:space="0"/>
              <w:left w:val="single" w:color="000000" w:sz="4" w:space="0"/>
              <w:right w:val="single" w:color="000000" w:sz="4" w:space="0"/>
            </w:tcBorders>
            <w:noWrap w:val="0"/>
            <w:vAlign w:val="center"/>
          </w:tcPr>
          <w:p w14:paraId="2E33258F">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kern w:val="0"/>
                <w:szCs w:val="21"/>
                <w:highlight w:val="none"/>
                <w:lang w:val="en-US" w:eastAsia="zh-CN" w:bidi="ar"/>
              </w:rPr>
              <w:t>否</w:t>
            </w:r>
          </w:p>
        </w:tc>
        <w:tc>
          <w:tcPr>
            <w:tcW w:w="1107" w:type="dxa"/>
            <w:vMerge w:val="restart"/>
            <w:tcBorders>
              <w:top w:val="single" w:color="000000" w:sz="4" w:space="0"/>
              <w:left w:val="single" w:color="000000" w:sz="4" w:space="0"/>
              <w:right w:val="single" w:color="000000" w:sz="4" w:space="0"/>
            </w:tcBorders>
            <w:noWrap w:val="0"/>
            <w:vAlign w:val="center"/>
          </w:tcPr>
          <w:p w14:paraId="5B4B7970">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获取招标文件的方式</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5E17CA34">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下载招标文件的网络地址</w:t>
            </w:r>
          </w:p>
        </w:tc>
        <w:tc>
          <w:tcPr>
            <w:tcW w:w="3443" w:type="dxa"/>
            <w:tcBorders>
              <w:top w:val="single" w:color="000000" w:sz="4" w:space="0"/>
              <w:left w:val="single" w:color="000000" w:sz="4" w:space="0"/>
              <w:bottom w:val="single" w:color="000000" w:sz="4" w:space="0"/>
              <w:right w:val="single" w:color="000000" w:sz="4" w:space="0"/>
            </w:tcBorders>
            <w:noWrap w:val="0"/>
            <w:vAlign w:val="center"/>
          </w:tcPr>
          <w:p w14:paraId="3BB85951">
            <w:pPr>
              <w:pageBreakBefore w:val="0"/>
              <w:overflowPunct/>
              <w:bidi w:val="0"/>
              <w:ind w:right="0"/>
              <w:rPr>
                <w:rFonts w:hint="eastAsia" w:asciiTheme="minorEastAsia" w:hAnsiTheme="minorEastAsia" w:eastAsiaTheme="minorEastAsia" w:cstheme="minorEastAsia"/>
                <w:color w:val="auto"/>
                <w:spacing w:val="-6"/>
                <w:kern w:val="0"/>
                <w:sz w:val="21"/>
                <w:szCs w:val="21"/>
                <w:highlight w:val="none"/>
                <w:lang w:eastAsia="zh-CN" w:bidi="ar"/>
              </w:rPr>
            </w:pPr>
            <w:r>
              <w:rPr>
                <w:rFonts w:hint="eastAsia" w:asciiTheme="minorEastAsia" w:hAnsiTheme="minorEastAsia" w:eastAsiaTheme="minorEastAsia" w:cstheme="minorEastAsia"/>
                <w:color w:val="auto"/>
                <w:spacing w:val="-6"/>
                <w:kern w:val="0"/>
                <w:sz w:val="21"/>
                <w:szCs w:val="21"/>
                <w:highlight w:val="none"/>
                <w:lang w:eastAsia="zh-CN" w:bidi="ar"/>
              </w:rPr>
              <w:t>全国公共资源交易平台(广东省·</w:t>
            </w:r>
            <w:r>
              <w:rPr>
                <w:rFonts w:hint="eastAsia" w:asciiTheme="minorEastAsia" w:hAnsiTheme="minorEastAsia" w:eastAsiaTheme="minorEastAsia" w:cstheme="minorEastAsia"/>
                <w:color w:val="auto"/>
                <w:spacing w:val="-6"/>
                <w:kern w:val="0"/>
                <w:sz w:val="21"/>
                <w:szCs w:val="21"/>
                <w:highlight w:val="none"/>
                <w:lang w:val="en-US" w:eastAsia="zh-CN" w:bidi="ar"/>
              </w:rPr>
              <w:t>佛山市）（</w:t>
            </w:r>
            <w:r>
              <w:rPr>
                <w:rFonts w:hint="eastAsia" w:asciiTheme="minorEastAsia" w:hAnsiTheme="minorEastAsia" w:eastAsiaTheme="minorEastAsia" w:cstheme="minorEastAsia"/>
                <w:color w:val="auto"/>
                <w:spacing w:val="-6"/>
                <w:kern w:val="0"/>
                <w:sz w:val="21"/>
                <w:szCs w:val="21"/>
                <w:highlight w:val="none"/>
                <w:lang w:eastAsia="zh-CN" w:bidi="ar"/>
              </w:rPr>
              <w:t>https://ygp.gdzwfw.gov.cn/ggzy-portal/#/440600/index)的“交易系统”模块，选择“佛山公共资源交易管理云平台”访问。</w:t>
            </w:r>
          </w:p>
          <w:p w14:paraId="5B612919">
            <w:pPr>
              <w:pageBreakBefore w:val="0"/>
              <w:overflowPunct/>
              <w:bidi w:val="0"/>
              <w:ind w:right="0"/>
              <w:rPr>
                <w:rFonts w:hint="eastAsia" w:asciiTheme="minorEastAsia" w:hAnsiTheme="minorEastAsia" w:eastAsiaTheme="minorEastAsia" w:cstheme="minorEastAsia"/>
                <w:color w:val="auto"/>
                <w:kern w:val="0"/>
                <w:szCs w:val="21"/>
                <w:highlight w:val="none"/>
                <w:lang w:eastAsia="zh-CN" w:bidi="ar"/>
              </w:rPr>
            </w:pPr>
            <w:r>
              <w:rPr>
                <w:rFonts w:hint="eastAsia" w:ascii="宋体" w:hAnsi="宋体" w:eastAsia="宋体" w:cs="宋体"/>
                <w:color w:val="auto"/>
                <w:kern w:val="0"/>
                <w:sz w:val="21"/>
                <w:szCs w:val="21"/>
                <w:highlight w:val="none"/>
                <w:lang w:bidi="ar"/>
              </w:rPr>
              <w:t>业务咨询电话：0757-83990765、0757-83991581。</w:t>
            </w:r>
          </w:p>
        </w:tc>
      </w:tr>
      <w:tr w14:paraId="59C01E16">
        <w:tblPrEx>
          <w:tblCellMar>
            <w:top w:w="0" w:type="dxa"/>
            <w:left w:w="108" w:type="dxa"/>
            <w:bottom w:w="0" w:type="dxa"/>
            <w:right w:w="108" w:type="dxa"/>
          </w:tblCellMar>
        </w:tblPrEx>
        <w:trPr>
          <w:trHeight w:val="745" w:hRule="atLeast"/>
          <w:jc w:val="center"/>
        </w:trPr>
        <w:tc>
          <w:tcPr>
            <w:tcW w:w="1843" w:type="dxa"/>
            <w:vMerge w:val="continue"/>
            <w:tcBorders>
              <w:left w:val="single" w:color="000000" w:sz="4" w:space="0"/>
              <w:bottom w:val="single" w:color="000000" w:sz="4" w:space="0"/>
              <w:right w:val="single" w:color="000000" w:sz="4" w:space="0"/>
            </w:tcBorders>
            <w:noWrap w:val="0"/>
            <w:vAlign w:val="center"/>
          </w:tcPr>
          <w:p w14:paraId="1FBD2EDF">
            <w:pPr>
              <w:pageBreakBefore w:val="0"/>
              <w:widowControl/>
              <w:overflowPunct/>
              <w:bidi w:val="0"/>
              <w:spacing w:line="320" w:lineRule="exact"/>
              <w:ind w:right="0"/>
              <w:rPr>
                <w:rFonts w:hint="eastAsia" w:asciiTheme="minorEastAsia" w:hAnsiTheme="minorEastAsia" w:eastAsiaTheme="minorEastAsia" w:cstheme="minorEastAsia"/>
                <w:b/>
                <w:bCs/>
                <w:color w:val="auto"/>
                <w:szCs w:val="21"/>
                <w:highlight w:val="none"/>
              </w:rPr>
            </w:pPr>
          </w:p>
        </w:tc>
        <w:tc>
          <w:tcPr>
            <w:tcW w:w="2035" w:type="dxa"/>
            <w:vMerge w:val="continue"/>
            <w:tcBorders>
              <w:left w:val="single" w:color="000000" w:sz="4" w:space="0"/>
              <w:bottom w:val="single" w:color="000000" w:sz="4" w:space="0"/>
              <w:right w:val="single" w:color="000000" w:sz="4" w:space="0"/>
            </w:tcBorders>
            <w:noWrap w:val="0"/>
            <w:vAlign w:val="center"/>
          </w:tcPr>
          <w:p w14:paraId="69E00C40">
            <w:pPr>
              <w:pageBreakBefore w:val="0"/>
              <w:widowControl/>
              <w:overflowPunct/>
              <w:bidi w:val="0"/>
              <w:spacing w:line="320" w:lineRule="exact"/>
              <w:ind w:right="0"/>
              <w:rPr>
                <w:rFonts w:hint="eastAsia" w:asciiTheme="minorEastAsia" w:hAnsiTheme="minorEastAsia" w:eastAsiaTheme="minorEastAsia" w:cstheme="minorEastAsia"/>
                <w:color w:val="auto"/>
                <w:szCs w:val="21"/>
                <w:highlight w:val="none"/>
              </w:rPr>
            </w:pPr>
          </w:p>
        </w:tc>
        <w:tc>
          <w:tcPr>
            <w:tcW w:w="1107" w:type="dxa"/>
            <w:vMerge w:val="continue"/>
            <w:tcBorders>
              <w:left w:val="single" w:color="000000" w:sz="4" w:space="0"/>
              <w:bottom w:val="single" w:color="000000" w:sz="4" w:space="0"/>
              <w:right w:val="single" w:color="000000" w:sz="4" w:space="0"/>
            </w:tcBorders>
            <w:noWrap w:val="0"/>
            <w:vAlign w:val="center"/>
          </w:tcPr>
          <w:p w14:paraId="19EFA674">
            <w:pPr>
              <w:pageBreakBefore w:val="0"/>
              <w:widowControl/>
              <w:overflowPunct/>
              <w:bidi w:val="0"/>
              <w:spacing w:line="320" w:lineRule="exact"/>
              <w:ind w:right="0"/>
              <w:rPr>
                <w:rFonts w:hint="eastAsia" w:asciiTheme="minorEastAsia" w:hAnsiTheme="minorEastAsia" w:eastAsiaTheme="minorEastAsia" w:cstheme="minorEastAsia"/>
                <w:color w:val="auto"/>
                <w:szCs w:val="21"/>
                <w:highlight w:val="none"/>
              </w:rPr>
            </w:pP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393C7AC7">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获取纸质招标文件的方式</w:t>
            </w:r>
          </w:p>
        </w:tc>
        <w:tc>
          <w:tcPr>
            <w:tcW w:w="3443" w:type="dxa"/>
            <w:tcBorders>
              <w:top w:val="single" w:color="000000" w:sz="4" w:space="0"/>
              <w:left w:val="single" w:color="000000" w:sz="4" w:space="0"/>
              <w:bottom w:val="single" w:color="000000" w:sz="4" w:space="0"/>
              <w:right w:val="single" w:color="000000" w:sz="4" w:space="0"/>
            </w:tcBorders>
            <w:noWrap w:val="0"/>
            <w:vAlign w:val="center"/>
          </w:tcPr>
          <w:p w14:paraId="69CC60E0">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8"/>
                <w:highlight w:val="none"/>
              </w:rPr>
              <w:t>本项目不提供纸质招标文件。</w:t>
            </w:r>
          </w:p>
        </w:tc>
      </w:tr>
      <w:tr w14:paraId="16C089D0">
        <w:tblPrEx>
          <w:tblCellMar>
            <w:top w:w="0" w:type="dxa"/>
            <w:left w:w="108" w:type="dxa"/>
            <w:bottom w:w="0" w:type="dxa"/>
            <w:right w:w="108" w:type="dxa"/>
          </w:tblCellMar>
        </w:tblPrEx>
        <w:trPr>
          <w:trHeight w:val="561" w:hRule="atLeast"/>
          <w:jc w:val="center"/>
        </w:trPr>
        <w:tc>
          <w:tcPr>
            <w:tcW w:w="1843" w:type="dxa"/>
            <w:tcBorders>
              <w:left w:val="single" w:color="000000" w:sz="4" w:space="0"/>
              <w:bottom w:val="single" w:color="000000" w:sz="4" w:space="0"/>
              <w:right w:val="single" w:color="000000" w:sz="4" w:space="0"/>
            </w:tcBorders>
            <w:noWrap w:val="0"/>
            <w:vAlign w:val="center"/>
          </w:tcPr>
          <w:p w14:paraId="17A3F67E">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评标办法</w:t>
            </w:r>
          </w:p>
        </w:tc>
        <w:tc>
          <w:tcPr>
            <w:tcW w:w="7849" w:type="dxa"/>
            <w:gridSpan w:val="4"/>
            <w:tcBorders>
              <w:left w:val="single" w:color="000000" w:sz="4" w:space="0"/>
              <w:bottom w:val="single" w:color="000000" w:sz="4" w:space="0"/>
              <w:right w:val="single" w:color="000000" w:sz="4" w:space="0"/>
            </w:tcBorders>
            <w:noWrap w:val="0"/>
            <w:vAlign w:val="center"/>
          </w:tcPr>
          <w:p w14:paraId="37BD24CD">
            <w:pPr>
              <w:pageBreakBefore w:val="0"/>
              <w:widowControl/>
              <w:overflowPunct/>
              <w:bidi w:val="0"/>
              <w:spacing w:line="320" w:lineRule="exact"/>
              <w:ind w:right="0"/>
              <w:jc w:val="center"/>
              <w:rPr>
                <w:rFonts w:hint="default" w:asciiTheme="minorEastAsia" w:hAnsiTheme="minorEastAsia" w:eastAsiaTheme="minorEastAsia" w:cstheme="minorEastAsia"/>
                <w:color w:val="auto"/>
                <w:kern w:val="0"/>
                <w:szCs w:val="21"/>
                <w:highlight w:val="none"/>
                <w:lang w:val="en-US" w:eastAsia="zh-CN" w:bidi="ar"/>
              </w:rPr>
            </w:pPr>
            <w:r>
              <w:rPr>
                <w:rFonts w:hint="eastAsia" w:asciiTheme="minorEastAsia" w:hAnsiTheme="minorEastAsia" w:eastAsiaTheme="minorEastAsia" w:cstheme="minorEastAsia"/>
                <w:bCs/>
                <w:color w:val="auto"/>
                <w:szCs w:val="21"/>
                <w:highlight w:val="none"/>
                <w:lang w:val="en-US" w:eastAsia="zh-CN"/>
              </w:rPr>
              <w:t>简易评标法</w:t>
            </w:r>
          </w:p>
        </w:tc>
      </w:tr>
      <w:tr w14:paraId="66A1AF13">
        <w:tblPrEx>
          <w:tblCellMar>
            <w:top w:w="0" w:type="dxa"/>
            <w:left w:w="108" w:type="dxa"/>
            <w:bottom w:w="0" w:type="dxa"/>
            <w:right w:w="108" w:type="dxa"/>
          </w:tblCellMar>
        </w:tblPrEx>
        <w:trPr>
          <w:trHeight w:val="77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68F97F94">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获取招标文件开始时间</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0404BC60">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2026 </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9</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21</w:t>
            </w:r>
            <w:r>
              <w:rPr>
                <w:rFonts w:hint="eastAsia" w:asciiTheme="minorEastAsia" w:hAnsiTheme="minorEastAsia" w:eastAsiaTheme="minorEastAsia" w:cstheme="minorEastAsia"/>
                <w:color w:val="auto"/>
                <w:szCs w:val="21"/>
                <w:highlight w:val="none"/>
              </w:rPr>
              <w:t>日</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48D022BD">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获取招标文件截止时间</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43797074">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2026 </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10</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11</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日</w:t>
            </w:r>
          </w:p>
          <w:p w14:paraId="54B4B633">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17</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时</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30</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分</w:t>
            </w:r>
          </w:p>
        </w:tc>
      </w:tr>
      <w:tr w14:paraId="30F16C2A">
        <w:tblPrEx>
          <w:tblCellMar>
            <w:top w:w="0" w:type="dxa"/>
            <w:left w:w="108" w:type="dxa"/>
            <w:bottom w:w="0" w:type="dxa"/>
            <w:right w:w="108" w:type="dxa"/>
          </w:tblCellMar>
        </w:tblPrEx>
        <w:trPr>
          <w:trHeight w:val="167"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18DC5FB8">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递交投标文件截止时间</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51B86A99">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2026</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lang w:val="en-US" w:eastAsia="zh-CN"/>
              </w:rPr>
              <w:t>10</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lang w:val="en-US" w:eastAsia="zh-CN"/>
              </w:rPr>
              <w:t>15</w:t>
            </w:r>
            <w:r>
              <w:rPr>
                <w:rFonts w:hint="eastAsia" w:asciiTheme="minorEastAsia" w:hAnsiTheme="minorEastAsia" w:eastAsiaTheme="minorEastAsia" w:cstheme="minorEastAsia"/>
                <w:color w:val="auto"/>
                <w:szCs w:val="21"/>
                <w:highlight w:val="none"/>
              </w:rPr>
              <w:t>日</w:t>
            </w:r>
          </w:p>
          <w:p w14:paraId="7D923425">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9 </w:t>
            </w:r>
            <w:r>
              <w:rPr>
                <w:rFonts w:hint="eastAsia" w:asciiTheme="minorEastAsia" w:hAnsiTheme="minorEastAsia" w:eastAsiaTheme="minorEastAsia" w:cstheme="minorEastAsia"/>
                <w:color w:val="auto"/>
                <w:szCs w:val="21"/>
                <w:highlight w:val="none"/>
              </w:rPr>
              <w:t>时</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30</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分</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21C1CEC6">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投标文件</w:t>
            </w:r>
          </w:p>
          <w:p w14:paraId="5D1E158C">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递交方式</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4F02DCC8">
            <w:pPr>
              <w:pageBreakBefore w:val="0"/>
              <w:widowControl/>
              <w:overflowPunct/>
              <w:bidi w:val="0"/>
              <w:spacing w:line="320" w:lineRule="exact"/>
              <w:ind w:right="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7"/>
                <w:highlight w:val="none"/>
              </w:rPr>
              <w:t>投标文件递交地址：投标人应于投标截止时间</w:t>
            </w:r>
            <w:r>
              <w:rPr>
                <w:rFonts w:hint="eastAsia" w:asciiTheme="minorEastAsia" w:hAnsiTheme="minorEastAsia" w:eastAsiaTheme="minorEastAsia" w:cstheme="minorEastAsia"/>
                <w:color w:val="auto"/>
                <w:spacing w:val="18"/>
                <w:highlight w:val="none"/>
              </w:rPr>
              <w:t>前将投标文件密封送达至佛山市顺德区大良</w:t>
            </w:r>
            <w:r>
              <w:rPr>
                <w:rFonts w:hint="eastAsia" w:asciiTheme="minorEastAsia" w:hAnsiTheme="minorEastAsia" w:eastAsiaTheme="minorEastAsia" w:cstheme="minorEastAsia"/>
                <w:color w:val="auto"/>
                <w:spacing w:val="6"/>
                <w:highlight w:val="none"/>
              </w:rPr>
              <w:t>街道新城区观绿路</w:t>
            </w:r>
            <w:r>
              <w:rPr>
                <w:rFonts w:hint="eastAsia" w:asciiTheme="minorEastAsia" w:hAnsiTheme="minorEastAsia" w:eastAsiaTheme="minorEastAsia" w:cstheme="minorEastAsia"/>
                <w:color w:val="auto"/>
                <w:spacing w:val="-49"/>
                <w:highlight w:val="none"/>
              </w:rPr>
              <w:t xml:space="preserve"> </w:t>
            </w:r>
            <w:r>
              <w:rPr>
                <w:rFonts w:hint="eastAsia" w:asciiTheme="minorEastAsia" w:hAnsiTheme="minorEastAsia" w:eastAsiaTheme="minorEastAsia" w:cstheme="minorEastAsia"/>
                <w:color w:val="auto"/>
                <w:spacing w:val="6"/>
                <w:highlight w:val="none"/>
              </w:rPr>
              <w:t>4</w:t>
            </w:r>
            <w:r>
              <w:rPr>
                <w:rFonts w:hint="eastAsia" w:asciiTheme="minorEastAsia" w:hAnsiTheme="minorEastAsia" w:eastAsiaTheme="minorEastAsia" w:cstheme="minorEastAsia"/>
                <w:color w:val="auto"/>
                <w:spacing w:val="-42"/>
                <w:highlight w:val="none"/>
              </w:rPr>
              <w:t xml:space="preserve"> </w:t>
            </w:r>
            <w:r>
              <w:rPr>
                <w:rFonts w:hint="eastAsia" w:asciiTheme="minorEastAsia" w:hAnsiTheme="minorEastAsia" w:eastAsiaTheme="minorEastAsia" w:cstheme="minorEastAsia"/>
                <w:color w:val="auto"/>
                <w:spacing w:val="6"/>
                <w:highlight w:val="none"/>
              </w:rPr>
              <w:t>号恒实置业广场</w:t>
            </w:r>
            <w:r>
              <w:rPr>
                <w:rFonts w:hint="eastAsia" w:asciiTheme="minorEastAsia" w:hAnsiTheme="minorEastAsia" w:eastAsiaTheme="minorEastAsia" w:cstheme="minorEastAsia"/>
                <w:color w:val="auto"/>
                <w:spacing w:val="-33"/>
                <w:highlight w:val="none"/>
              </w:rPr>
              <w:t xml:space="preserve"> </w:t>
            </w:r>
            <w:r>
              <w:rPr>
                <w:rFonts w:hint="eastAsia" w:asciiTheme="minorEastAsia" w:hAnsiTheme="minorEastAsia" w:eastAsiaTheme="minorEastAsia" w:cstheme="minorEastAsia"/>
                <w:color w:val="auto"/>
                <w:spacing w:val="6"/>
                <w:highlight w:val="none"/>
              </w:rPr>
              <w:t>1</w:t>
            </w:r>
            <w:r>
              <w:rPr>
                <w:rFonts w:hint="eastAsia" w:asciiTheme="minorEastAsia" w:hAnsiTheme="minorEastAsia" w:eastAsiaTheme="minorEastAsia" w:cstheme="minorEastAsia"/>
                <w:color w:val="auto"/>
                <w:spacing w:val="-45"/>
                <w:highlight w:val="none"/>
              </w:rPr>
              <w:t xml:space="preserve"> </w:t>
            </w:r>
            <w:r>
              <w:rPr>
                <w:rFonts w:hint="eastAsia" w:asciiTheme="minorEastAsia" w:hAnsiTheme="minorEastAsia" w:eastAsiaTheme="minorEastAsia" w:cstheme="minorEastAsia"/>
                <w:color w:val="auto"/>
                <w:spacing w:val="6"/>
                <w:highlight w:val="none"/>
              </w:rPr>
              <w:t>号楼裙</w:t>
            </w:r>
            <w:r>
              <w:rPr>
                <w:rFonts w:hint="eastAsia" w:asciiTheme="minorEastAsia" w:hAnsiTheme="minorEastAsia" w:eastAsiaTheme="minorEastAsia" w:cstheme="minorEastAsia"/>
                <w:color w:val="auto"/>
                <w:spacing w:val="9"/>
                <w:highlight w:val="none"/>
              </w:rPr>
              <w:t>楼顺德区公共资源交易中心4</w:t>
            </w:r>
            <w:r>
              <w:rPr>
                <w:rFonts w:hint="eastAsia" w:asciiTheme="minorEastAsia" w:hAnsiTheme="minorEastAsia" w:eastAsiaTheme="minorEastAsia" w:cstheme="minorEastAsia"/>
                <w:color w:val="auto"/>
                <w:spacing w:val="-29"/>
                <w:highlight w:val="none"/>
              </w:rPr>
              <w:t xml:space="preserve"> </w:t>
            </w:r>
            <w:r>
              <w:rPr>
                <w:rFonts w:hint="eastAsia" w:asciiTheme="minorEastAsia" w:hAnsiTheme="minorEastAsia" w:eastAsiaTheme="minorEastAsia" w:cstheme="minorEastAsia"/>
                <w:color w:val="auto"/>
                <w:spacing w:val="9"/>
                <w:highlight w:val="none"/>
              </w:rPr>
              <w:t>楼，具体开标室以交易中心4</w:t>
            </w:r>
            <w:r>
              <w:rPr>
                <w:rFonts w:hint="eastAsia" w:asciiTheme="minorEastAsia" w:hAnsiTheme="minorEastAsia" w:eastAsiaTheme="minorEastAsia" w:cstheme="minorEastAsia"/>
                <w:color w:val="auto"/>
                <w:spacing w:val="-29"/>
                <w:highlight w:val="none"/>
              </w:rPr>
              <w:t xml:space="preserve"> </w:t>
            </w:r>
            <w:r>
              <w:rPr>
                <w:rFonts w:hint="eastAsia" w:asciiTheme="minorEastAsia" w:hAnsiTheme="minorEastAsia" w:eastAsiaTheme="minorEastAsia" w:cstheme="minorEastAsia"/>
                <w:color w:val="auto"/>
                <w:spacing w:val="9"/>
                <w:highlight w:val="none"/>
              </w:rPr>
              <w:t>楼大厅电子屏显示为准。逾期送</w:t>
            </w:r>
            <w:r>
              <w:rPr>
                <w:rFonts w:hint="eastAsia" w:asciiTheme="minorEastAsia" w:hAnsiTheme="minorEastAsia" w:eastAsiaTheme="minorEastAsia" w:cstheme="minorEastAsia"/>
                <w:color w:val="auto"/>
                <w:spacing w:val="7"/>
                <w:highlight w:val="none"/>
              </w:rPr>
              <w:t>达或未送达指定地点的投标文件，招标人将不</w:t>
            </w:r>
            <w:r>
              <w:rPr>
                <w:rFonts w:hint="eastAsia" w:asciiTheme="minorEastAsia" w:hAnsiTheme="minorEastAsia" w:eastAsiaTheme="minorEastAsia" w:cstheme="minorEastAsia"/>
                <w:color w:val="auto"/>
                <w:spacing w:val="5"/>
                <w:highlight w:val="none"/>
              </w:rPr>
              <w:t>予受理。</w:t>
            </w:r>
          </w:p>
        </w:tc>
      </w:tr>
      <w:tr w14:paraId="53828EF9">
        <w:tblPrEx>
          <w:tblCellMar>
            <w:top w:w="0" w:type="dxa"/>
            <w:left w:w="108" w:type="dxa"/>
            <w:bottom w:w="0" w:type="dxa"/>
            <w:right w:w="108" w:type="dxa"/>
          </w:tblCellMar>
        </w:tblPrEx>
        <w:trPr>
          <w:trHeight w:val="752"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171B77A4">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开标时间</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5F6766F4">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2026</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lang w:val="en-US" w:eastAsia="zh-CN"/>
              </w:rPr>
              <w:t>10</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lang w:val="en-US" w:eastAsia="zh-CN"/>
              </w:rPr>
              <w:t>15</w:t>
            </w:r>
            <w:r>
              <w:rPr>
                <w:rFonts w:hint="eastAsia" w:asciiTheme="minorEastAsia" w:hAnsiTheme="minorEastAsia" w:eastAsiaTheme="minorEastAsia" w:cstheme="minorEastAsia"/>
                <w:color w:val="auto"/>
                <w:szCs w:val="21"/>
                <w:highlight w:val="none"/>
              </w:rPr>
              <w:t>日</w:t>
            </w:r>
          </w:p>
          <w:p w14:paraId="7DE33ED9">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9 </w:t>
            </w:r>
            <w:r>
              <w:rPr>
                <w:rFonts w:hint="eastAsia" w:asciiTheme="minorEastAsia" w:hAnsiTheme="minorEastAsia" w:eastAsiaTheme="minorEastAsia" w:cstheme="minorEastAsia"/>
                <w:color w:val="auto"/>
                <w:szCs w:val="21"/>
                <w:highlight w:val="none"/>
              </w:rPr>
              <w:t>时</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30 </w:t>
            </w:r>
            <w:r>
              <w:rPr>
                <w:rFonts w:hint="eastAsia" w:asciiTheme="minorEastAsia" w:hAnsiTheme="minorEastAsia" w:eastAsiaTheme="minorEastAsia" w:cstheme="minorEastAsia"/>
                <w:color w:val="auto"/>
                <w:szCs w:val="21"/>
                <w:highlight w:val="none"/>
              </w:rPr>
              <w:t>分（与投标截止时间为同一时间）</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40E517B6">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开标地点</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5E88B6BE">
            <w:pPr>
              <w:pageBreakBefore w:val="0"/>
              <w:widowControl/>
              <w:overflowPunct/>
              <w:bidi w:val="0"/>
              <w:spacing w:line="320" w:lineRule="exact"/>
              <w:ind w:right="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开标地点：佛山市顺德区公共资源交易中心开标室（具体地址：佛山市顺德区大良街道新城区观绿路 4 号恒实置业广场1号楼裙楼顺德区公共资源交易中心指定开标室，具体开标室以交易中心大厅电子屏显示为准）。</w:t>
            </w:r>
          </w:p>
        </w:tc>
      </w:tr>
      <w:tr w14:paraId="459BA612">
        <w:tblPrEx>
          <w:tblCellMar>
            <w:top w:w="0" w:type="dxa"/>
            <w:left w:w="108" w:type="dxa"/>
            <w:bottom w:w="0" w:type="dxa"/>
            <w:right w:w="108" w:type="dxa"/>
          </w:tblCellMar>
        </w:tblPrEx>
        <w:trPr>
          <w:trHeight w:val="952" w:hRule="atLeast"/>
          <w:jc w:val="center"/>
        </w:trPr>
        <w:tc>
          <w:tcPr>
            <w:tcW w:w="1843" w:type="dxa"/>
            <w:tcBorders>
              <w:top w:val="single" w:color="000000" w:sz="4" w:space="0"/>
              <w:left w:val="single" w:color="000000" w:sz="4" w:space="0"/>
              <w:bottom w:val="single" w:color="auto" w:sz="4" w:space="0"/>
              <w:right w:val="single" w:color="000000" w:sz="4" w:space="0"/>
            </w:tcBorders>
            <w:noWrap w:val="0"/>
            <w:vAlign w:val="center"/>
          </w:tcPr>
          <w:p w14:paraId="60C3E76F">
            <w:pPr>
              <w:pageBreakBefore w:val="0"/>
              <w:overflowPunct/>
              <w:bidi w:val="0"/>
              <w:ind w:right="0"/>
              <w:jc w:val="both"/>
              <w:rPr>
                <w:rFonts w:hint="eastAsia" w:asciiTheme="minorEastAsia" w:hAnsiTheme="minorEastAsia" w:eastAsiaTheme="minorEastAsia" w:cstheme="minorEastAsia"/>
                <w:b/>
                <w:color w:val="auto"/>
                <w:szCs w:val="21"/>
                <w:highlight w:val="none"/>
                <w:lang w:bidi="ar"/>
              </w:rPr>
            </w:pPr>
            <w:r>
              <w:rPr>
                <w:rFonts w:hint="eastAsia" w:asciiTheme="minorEastAsia" w:hAnsiTheme="minorEastAsia" w:eastAsiaTheme="minorEastAsia" w:cstheme="minorEastAsia"/>
                <w:b/>
                <w:bCs/>
                <w:color w:val="auto"/>
                <w:kern w:val="0"/>
                <w:szCs w:val="21"/>
                <w:highlight w:val="none"/>
                <w:lang w:bidi="ar"/>
              </w:rPr>
              <w:t>发布公告媒介</w:t>
            </w:r>
            <w:r>
              <w:rPr>
                <w:rFonts w:hint="eastAsia" w:asciiTheme="minorEastAsia" w:hAnsiTheme="minorEastAsia" w:eastAsiaTheme="minorEastAsia" w:cstheme="minorEastAsia"/>
                <w:b/>
                <w:color w:val="auto"/>
                <w:szCs w:val="21"/>
                <w:highlight w:val="none"/>
                <w:lang w:eastAsia="zh-CN" w:bidi="ar"/>
              </w:rPr>
              <w:t>（</w:t>
            </w:r>
            <w:r>
              <w:rPr>
                <w:rFonts w:hint="eastAsia" w:asciiTheme="minorEastAsia" w:hAnsiTheme="minorEastAsia" w:eastAsiaTheme="minorEastAsia" w:cstheme="minorEastAsia"/>
                <w:b/>
                <w:color w:val="auto"/>
                <w:szCs w:val="21"/>
                <w:highlight w:val="none"/>
                <w:lang w:bidi="ar"/>
              </w:rPr>
              <w:t>公开招标适用）</w:t>
            </w:r>
          </w:p>
        </w:tc>
        <w:tc>
          <w:tcPr>
            <w:tcW w:w="7849" w:type="dxa"/>
            <w:gridSpan w:val="4"/>
            <w:tcBorders>
              <w:top w:val="single" w:color="000000" w:sz="4" w:space="0"/>
              <w:left w:val="single" w:color="000000" w:sz="4" w:space="0"/>
              <w:bottom w:val="single" w:color="auto" w:sz="4" w:space="0"/>
              <w:right w:val="single" w:color="000000" w:sz="4" w:space="0"/>
            </w:tcBorders>
            <w:noWrap w:val="0"/>
            <w:vAlign w:val="center"/>
          </w:tcPr>
          <w:p w14:paraId="3E172EB7">
            <w:pPr>
              <w:pageBreakBefore w:val="0"/>
              <w:overflowPunct/>
              <w:bidi w:val="0"/>
              <w:ind w:right="0"/>
              <w:jc w:val="center"/>
              <w:rPr>
                <w:rFonts w:hint="eastAsia" w:eastAsia="宋体" w:asciiTheme="minorEastAsia" w:hAnsiTheme="minorEastAsia" w:cstheme="minorEastAsia"/>
                <w:color w:val="auto"/>
                <w:kern w:val="0"/>
                <w:szCs w:val="21"/>
                <w:highlight w:val="none"/>
                <w:lang w:eastAsia="zh-CN" w:bidi="ar"/>
              </w:rPr>
            </w:pPr>
            <w:r>
              <w:rPr>
                <w:rFonts w:hint="eastAsia" w:ascii="宋体" w:hAnsi="宋体" w:eastAsia="宋体" w:cs="宋体"/>
                <w:color w:val="auto"/>
                <w:kern w:val="0"/>
                <w:sz w:val="21"/>
                <w:szCs w:val="21"/>
                <w:highlight w:val="none"/>
                <w:lang w:bidi="ar"/>
              </w:rPr>
              <w:t>全国公共资源交易平台（广东省·佛山市）</w:t>
            </w:r>
            <w:r>
              <w:rPr>
                <w:rFonts w:hint="eastAsia" w:ascii="宋体" w:hAnsi="宋体" w:eastAsia="宋体" w:cs="宋体"/>
                <w:color w:val="auto"/>
                <w:kern w:val="0"/>
                <w:sz w:val="21"/>
                <w:szCs w:val="21"/>
                <w:highlight w:val="none"/>
                <w:lang w:eastAsia="zh-CN" w:bidi="ar"/>
              </w:rPr>
              <w:t>、佛山市顺德城建集团有限公司‌官网</w:t>
            </w:r>
          </w:p>
        </w:tc>
      </w:tr>
      <w:tr w14:paraId="1281A812">
        <w:tblPrEx>
          <w:tblCellMar>
            <w:top w:w="0" w:type="dxa"/>
            <w:left w:w="108" w:type="dxa"/>
            <w:bottom w:w="0" w:type="dxa"/>
            <w:right w:w="108" w:type="dxa"/>
          </w:tblCellMar>
        </w:tblPrEx>
        <w:trPr>
          <w:trHeight w:val="505"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1FCA48CE">
            <w:pPr>
              <w:pageBreakBefore w:val="0"/>
              <w:widowControl/>
              <w:overflowPunct/>
              <w:bidi w:val="0"/>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招标人（异议接收单位）</w:t>
            </w:r>
          </w:p>
        </w:tc>
        <w:tc>
          <w:tcPr>
            <w:tcW w:w="7849" w:type="dxa"/>
            <w:gridSpan w:val="4"/>
            <w:tcBorders>
              <w:top w:val="single" w:color="auto" w:sz="4" w:space="0"/>
              <w:left w:val="single" w:color="auto" w:sz="4" w:space="0"/>
              <w:bottom w:val="single" w:color="auto" w:sz="4" w:space="0"/>
              <w:right w:val="single" w:color="auto" w:sz="4" w:space="0"/>
            </w:tcBorders>
            <w:noWrap w:val="0"/>
            <w:vAlign w:val="center"/>
          </w:tcPr>
          <w:p w14:paraId="44298A9D">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1"/>
                <w:szCs w:val="21"/>
                <w:highlight w:val="none"/>
                <w:lang w:val="en-US" w:eastAsia="zh-CN"/>
              </w:rPr>
              <w:t>广东顺控水务投资建设有限公司</w:t>
            </w:r>
          </w:p>
        </w:tc>
      </w:tr>
      <w:tr w14:paraId="672178AF">
        <w:tblPrEx>
          <w:tblCellMar>
            <w:top w:w="0" w:type="dxa"/>
            <w:left w:w="108" w:type="dxa"/>
            <w:bottom w:w="0" w:type="dxa"/>
            <w:right w:w="108" w:type="dxa"/>
          </w:tblCellMar>
        </w:tblPrEx>
        <w:trPr>
          <w:trHeight w:val="962" w:hRule="exac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49344EB1">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邮编</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271B4572">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528300</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3425376">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联系地址</w:t>
            </w:r>
          </w:p>
        </w:tc>
        <w:tc>
          <w:tcPr>
            <w:tcW w:w="4707" w:type="dxa"/>
            <w:gridSpan w:val="2"/>
            <w:tcBorders>
              <w:top w:val="single" w:color="auto" w:sz="4" w:space="0"/>
              <w:left w:val="single" w:color="auto" w:sz="4" w:space="0"/>
              <w:bottom w:val="single" w:color="auto" w:sz="4" w:space="0"/>
              <w:right w:val="single" w:color="auto" w:sz="4" w:space="0"/>
            </w:tcBorders>
            <w:noWrap w:val="0"/>
            <w:vAlign w:val="center"/>
          </w:tcPr>
          <w:p w14:paraId="03950855">
            <w:pPr>
              <w:pageBreakBefore w:val="0"/>
              <w:overflowPunct/>
              <w:bidi w:val="0"/>
              <w:spacing w:line="320" w:lineRule="exact"/>
              <w:ind w:right="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val="0"/>
                <w:iCs w:val="0"/>
                <w:caps w:val="0"/>
                <w:color w:val="auto"/>
                <w:spacing w:val="0"/>
                <w:sz w:val="21"/>
                <w:szCs w:val="21"/>
                <w:highlight w:val="none"/>
                <w:shd w:val="clear" w:color="auto" w:fill="auto"/>
                <w:lang w:eastAsia="zh-CN"/>
              </w:rPr>
              <w:t>佛山市顺德区北滘镇高村村裕和东路102号</w:t>
            </w:r>
            <w:r>
              <w:rPr>
                <w:rFonts w:hint="eastAsia" w:asciiTheme="minorEastAsia" w:hAnsiTheme="minorEastAsia" w:eastAsiaTheme="minorEastAsia" w:cstheme="minorEastAsia"/>
                <w:i w:val="0"/>
                <w:iCs w:val="0"/>
                <w:caps w:val="0"/>
                <w:color w:val="auto"/>
                <w:spacing w:val="0"/>
                <w:sz w:val="21"/>
                <w:szCs w:val="21"/>
                <w:highlight w:val="none"/>
                <w:shd w:val="clear" w:color="auto" w:fill="auto"/>
                <w:lang w:val="en-US" w:eastAsia="zh-CN"/>
              </w:rPr>
              <w:t>顺德城建</w:t>
            </w:r>
            <w:r>
              <w:rPr>
                <w:rFonts w:hint="eastAsia" w:asciiTheme="minorEastAsia" w:hAnsiTheme="minorEastAsia" w:eastAsiaTheme="minorEastAsia" w:cstheme="minorEastAsia"/>
                <w:i w:val="0"/>
                <w:iCs w:val="0"/>
                <w:caps w:val="0"/>
                <w:color w:val="auto"/>
                <w:spacing w:val="0"/>
                <w:sz w:val="21"/>
                <w:szCs w:val="21"/>
                <w:highlight w:val="none"/>
                <w:shd w:val="clear" w:color="auto" w:fill="auto"/>
                <w:lang w:eastAsia="zh-CN"/>
              </w:rPr>
              <w:t>集团3楼</w:t>
            </w:r>
          </w:p>
        </w:tc>
      </w:tr>
      <w:tr w14:paraId="0885C56A">
        <w:tblPrEx>
          <w:tblCellMar>
            <w:top w:w="0" w:type="dxa"/>
            <w:left w:w="108" w:type="dxa"/>
            <w:bottom w:w="0" w:type="dxa"/>
            <w:right w:w="108" w:type="dxa"/>
          </w:tblCellMar>
        </w:tblPrEx>
        <w:trPr>
          <w:trHeight w:val="440" w:hRule="exac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540B2DBD">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招标人联系人</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4AEE7F52">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color w:val="auto"/>
                <w:highlight w:val="none"/>
                <w:lang w:val="en-US" w:eastAsia="zh-CN"/>
              </w:rPr>
              <w:t>蔡工</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5EFD565">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联系电话</w:t>
            </w:r>
          </w:p>
        </w:tc>
        <w:tc>
          <w:tcPr>
            <w:tcW w:w="4707" w:type="dxa"/>
            <w:gridSpan w:val="2"/>
            <w:tcBorders>
              <w:top w:val="single" w:color="auto" w:sz="4" w:space="0"/>
              <w:left w:val="single" w:color="auto" w:sz="4" w:space="0"/>
              <w:bottom w:val="single" w:color="auto" w:sz="4" w:space="0"/>
              <w:right w:val="single" w:color="auto" w:sz="4" w:space="0"/>
            </w:tcBorders>
            <w:noWrap w:val="0"/>
            <w:vAlign w:val="center"/>
          </w:tcPr>
          <w:p w14:paraId="5663DA18">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val="0"/>
                <w:iCs w:val="0"/>
                <w:caps w:val="0"/>
                <w:color w:val="auto"/>
                <w:spacing w:val="0"/>
                <w:sz w:val="21"/>
                <w:szCs w:val="21"/>
                <w:highlight w:val="none"/>
                <w:shd w:val="clear" w:color="auto" w:fill="auto"/>
                <w:lang w:eastAsia="zh-CN"/>
              </w:rPr>
              <w:t>0757-22320101</w:t>
            </w:r>
          </w:p>
        </w:tc>
      </w:tr>
      <w:tr w14:paraId="26B31323">
        <w:tblPrEx>
          <w:tblCellMar>
            <w:top w:w="0" w:type="dxa"/>
            <w:left w:w="108" w:type="dxa"/>
            <w:bottom w:w="0" w:type="dxa"/>
            <w:right w:w="108" w:type="dxa"/>
          </w:tblCellMar>
        </w:tblPrEx>
        <w:trPr>
          <w:trHeight w:val="561" w:hRule="exac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431F4F6D">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招标人传真</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0133EEBD">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159B568">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电子邮箱</w:t>
            </w:r>
          </w:p>
        </w:tc>
        <w:tc>
          <w:tcPr>
            <w:tcW w:w="4707" w:type="dxa"/>
            <w:gridSpan w:val="2"/>
            <w:tcBorders>
              <w:top w:val="single" w:color="auto" w:sz="4" w:space="0"/>
              <w:left w:val="single" w:color="auto" w:sz="4" w:space="0"/>
              <w:bottom w:val="single" w:color="auto" w:sz="4" w:space="0"/>
              <w:right w:val="single" w:color="auto" w:sz="4" w:space="0"/>
            </w:tcBorders>
            <w:noWrap w:val="0"/>
            <w:vAlign w:val="center"/>
          </w:tcPr>
          <w:p w14:paraId="1429C12D">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p>
        </w:tc>
      </w:tr>
      <w:tr w14:paraId="5CC95B97">
        <w:tblPrEx>
          <w:tblCellMar>
            <w:top w:w="0" w:type="dxa"/>
            <w:left w:w="108" w:type="dxa"/>
            <w:bottom w:w="0" w:type="dxa"/>
            <w:right w:w="108" w:type="dxa"/>
          </w:tblCellMar>
        </w:tblPrEx>
        <w:trPr>
          <w:trHeight w:val="561" w:hRule="exact"/>
          <w:jc w:val="center"/>
        </w:trPr>
        <w:tc>
          <w:tcPr>
            <w:tcW w:w="1843" w:type="dxa"/>
            <w:tcBorders>
              <w:top w:val="single" w:color="auto" w:sz="4" w:space="0"/>
              <w:left w:val="single" w:color="000000" w:sz="4" w:space="0"/>
              <w:bottom w:val="single" w:color="000000" w:sz="4" w:space="0"/>
              <w:right w:val="single" w:color="000000" w:sz="4" w:space="0"/>
            </w:tcBorders>
            <w:noWrap w:val="0"/>
            <w:vAlign w:val="center"/>
          </w:tcPr>
          <w:p w14:paraId="41FD8F0A">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招标代理机构</w:t>
            </w:r>
          </w:p>
        </w:tc>
        <w:tc>
          <w:tcPr>
            <w:tcW w:w="7849" w:type="dxa"/>
            <w:gridSpan w:val="4"/>
            <w:tcBorders>
              <w:top w:val="single" w:color="auto" w:sz="4" w:space="0"/>
              <w:left w:val="single" w:color="000000" w:sz="4" w:space="0"/>
              <w:bottom w:val="single" w:color="000000" w:sz="4" w:space="0"/>
              <w:right w:val="single" w:color="000000" w:sz="4" w:space="0"/>
            </w:tcBorders>
            <w:noWrap w:val="0"/>
            <w:vAlign w:val="center"/>
          </w:tcPr>
          <w:p w14:paraId="3720132F">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1"/>
                <w:szCs w:val="21"/>
                <w:highlight w:val="none"/>
                <w:lang w:val="en-US" w:eastAsia="zh-CN"/>
              </w:rPr>
              <w:t>深圳市深水水务咨询有限公司</w:t>
            </w:r>
          </w:p>
        </w:tc>
      </w:tr>
      <w:tr w14:paraId="2423CC88">
        <w:tblPrEx>
          <w:tblCellMar>
            <w:top w:w="0" w:type="dxa"/>
            <w:left w:w="108" w:type="dxa"/>
            <w:bottom w:w="0" w:type="dxa"/>
            <w:right w:w="108" w:type="dxa"/>
          </w:tblCellMar>
        </w:tblPrEx>
        <w:trPr>
          <w:trHeight w:val="710" w:hRule="exact"/>
          <w:jc w:val="center"/>
        </w:trPr>
        <w:tc>
          <w:tcPr>
            <w:tcW w:w="1843" w:type="dxa"/>
            <w:tcBorders>
              <w:top w:val="single" w:color="auto" w:sz="4" w:space="0"/>
              <w:left w:val="single" w:color="000000" w:sz="4" w:space="0"/>
              <w:bottom w:val="single" w:color="000000" w:sz="4" w:space="0"/>
              <w:right w:val="single" w:color="000000" w:sz="4" w:space="0"/>
            </w:tcBorders>
            <w:noWrap w:val="0"/>
            <w:vAlign w:val="center"/>
          </w:tcPr>
          <w:p w14:paraId="6936265A">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邮编</w:t>
            </w:r>
          </w:p>
        </w:tc>
        <w:tc>
          <w:tcPr>
            <w:tcW w:w="2035" w:type="dxa"/>
            <w:tcBorders>
              <w:top w:val="single" w:color="auto" w:sz="4" w:space="0"/>
              <w:left w:val="single" w:color="000000" w:sz="4" w:space="0"/>
              <w:bottom w:val="single" w:color="000000" w:sz="4" w:space="0"/>
              <w:right w:val="single" w:color="000000" w:sz="4" w:space="0"/>
            </w:tcBorders>
            <w:noWrap w:val="0"/>
            <w:vAlign w:val="center"/>
          </w:tcPr>
          <w:p w14:paraId="6641AFBC">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1"/>
                <w:szCs w:val="21"/>
                <w:highlight w:val="none"/>
              </w:rPr>
              <w:t>518000</w:t>
            </w:r>
          </w:p>
        </w:tc>
        <w:tc>
          <w:tcPr>
            <w:tcW w:w="1107" w:type="dxa"/>
            <w:tcBorders>
              <w:top w:val="single" w:color="auto" w:sz="4" w:space="0"/>
              <w:left w:val="single" w:color="000000" w:sz="4" w:space="0"/>
              <w:bottom w:val="single" w:color="000000" w:sz="4" w:space="0"/>
              <w:right w:val="single" w:color="000000" w:sz="4" w:space="0"/>
            </w:tcBorders>
            <w:noWrap w:val="0"/>
            <w:vAlign w:val="center"/>
          </w:tcPr>
          <w:p w14:paraId="64DD85D1">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联系地址</w:t>
            </w:r>
          </w:p>
        </w:tc>
        <w:tc>
          <w:tcPr>
            <w:tcW w:w="4707" w:type="dxa"/>
            <w:gridSpan w:val="2"/>
            <w:tcBorders>
              <w:top w:val="single" w:color="auto" w:sz="4" w:space="0"/>
              <w:left w:val="single" w:color="000000" w:sz="4" w:space="0"/>
              <w:bottom w:val="single" w:color="000000" w:sz="4" w:space="0"/>
              <w:right w:val="single" w:color="000000" w:sz="4" w:space="0"/>
            </w:tcBorders>
            <w:noWrap w:val="0"/>
            <w:vAlign w:val="center"/>
          </w:tcPr>
          <w:p w14:paraId="1443F58A">
            <w:pPr>
              <w:pageBreakBefore w:val="0"/>
              <w:overflowPunct/>
              <w:bidi w:val="0"/>
              <w:spacing w:line="320" w:lineRule="exact"/>
              <w:ind w:right="0"/>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深圳市罗湖区清水河街道清水河社区清水河一路112号罗湖投资控股大厦裙楼 401</w:t>
            </w:r>
          </w:p>
          <w:p w14:paraId="1D3132F5">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p>
        </w:tc>
      </w:tr>
      <w:tr w14:paraId="2AFE4141">
        <w:tblPrEx>
          <w:tblCellMar>
            <w:top w:w="0" w:type="dxa"/>
            <w:left w:w="108" w:type="dxa"/>
            <w:bottom w:w="0" w:type="dxa"/>
            <w:right w:w="108" w:type="dxa"/>
          </w:tblCellMar>
        </w:tblPrEx>
        <w:trPr>
          <w:trHeight w:val="1128" w:hRule="exac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08A97DB6">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项目代理联系人（项目负责人）</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2BDA8EB9">
            <w:pPr>
              <w:pageBreakBefore w:val="0"/>
              <w:overflowPunct/>
              <w:bidi w:val="0"/>
              <w:spacing w:line="320" w:lineRule="exact"/>
              <w:ind w:right="0"/>
              <w:jc w:val="center"/>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王树财、曾彬</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01746191">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联系电话</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44FFFD4D">
            <w:pPr>
              <w:pageBreakBefore w:val="0"/>
              <w:overflowPunct/>
              <w:bidi w:val="0"/>
              <w:spacing w:line="320" w:lineRule="exact"/>
              <w:ind w:right="0"/>
              <w:jc w:val="center"/>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highlight w:val="none"/>
                <w:lang w:val="en-US" w:eastAsia="zh-CN"/>
              </w:rPr>
              <w:t>18898779583</w:t>
            </w:r>
          </w:p>
        </w:tc>
      </w:tr>
      <w:tr w14:paraId="2AB011DB">
        <w:tblPrEx>
          <w:tblCellMar>
            <w:top w:w="0" w:type="dxa"/>
            <w:left w:w="108" w:type="dxa"/>
            <w:bottom w:w="0" w:type="dxa"/>
            <w:right w:w="108" w:type="dxa"/>
          </w:tblCellMar>
        </w:tblPrEx>
        <w:trPr>
          <w:trHeight w:val="561" w:hRule="exac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506EFE73">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招标代理传真</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33C9625C">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val="en-US" w:eastAsia="zh-CN"/>
              </w:rPr>
              <w:t>/</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52F23298">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电子邮箱</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750F5EA3">
            <w:pPr>
              <w:pageBreakBefore w:val="0"/>
              <w:overflowPunct/>
              <w:bidi w:val="0"/>
              <w:spacing w:line="320" w:lineRule="exact"/>
              <w:ind w:right="0"/>
              <w:jc w:val="center"/>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497458827@qq.com</w:t>
            </w:r>
          </w:p>
        </w:tc>
      </w:tr>
      <w:tr w14:paraId="6CB5D352">
        <w:tblPrEx>
          <w:tblCellMar>
            <w:top w:w="0" w:type="dxa"/>
            <w:left w:w="108" w:type="dxa"/>
            <w:bottom w:w="0" w:type="dxa"/>
            <w:right w:w="108" w:type="dxa"/>
          </w:tblCellMar>
        </w:tblPrEx>
        <w:trPr>
          <w:trHeight w:val="999" w:hRule="exac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0E1BFBC6">
            <w:pPr>
              <w:pageBreakBefore w:val="0"/>
              <w:widowControl/>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szCs w:val="21"/>
                <w:highlight w:val="none"/>
              </w:rPr>
              <w:t>招标监督机构</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40477B4A">
            <w:pPr>
              <w:pageBreakBefore w:val="0"/>
              <w:widowControl/>
              <w:overflowPunct/>
              <w:bidi w:val="0"/>
              <w:spacing w:line="320" w:lineRule="exact"/>
              <w:ind w:right="0"/>
              <w:jc w:val="both"/>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广东顺控水务投资建设有限公司纪检审计部</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48FA88F6">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0"/>
                <w:szCs w:val="21"/>
                <w:highlight w:val="none"/>
                <w:lang w:bidi="ar"/>
              </w:rPr>
              <w:t>联系电话</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697031D4">
            <w:pPr>
              <w:pageBreakBefore w:val="0"/>
              <w:overflowPunct/>
              <w:bidi w:val="0"/>
              <w:spacing w:line="320" w:lineRule="exact"/>
              <w:ind w:right="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0757-22320116</w:t>
            </w:r>
          </w:p>
        </w:tc>
      </w:tr>
      <w:tr w14:paraId="7905710E">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4565DE27">
            <w:pPr>
              <w:pageBreakBefore w:val="0"/>
              <w:widowControl/>
              <w:overflowPunct/>
              <w:bidi w:val="0"/>
              <w:spacing w:line="320" w:lineRule="exact"/>
              <w:ind w:right="0"/>
              <w:jc w:val="center"/>
              <w:rPr>
                <w:rFonts w:hint="eastAsia" w:asciiTheme="minorEastAsia" w:hAnsiTheme="minorEastAsia" w:eastAsiaTheme="minorEastAsia" w:cstheme="minorEastAsia"/>
                <w:b/>
                <w:bCs/>
                <w:color w:val="auto"/>
                <w:kern w:val="0"/>
                <w:szCs w:val="21"/>
                <w:highlight w:val="none"/>
                <w:lang w:bidi="ar"/>
              </w:rPr>
            </w:pPr>
            <w:r>
              <w:rPr>
                <w:rFonts w:hint="eastAsia" w:asciiTheme="minorEastAsia" w:hAnsiTheme="minorEastAsia" w:eastAsiaTheme="minorEastAsia" w:cstheme="minorEastAsia"/>
                <w:b/>
                <w:bCs/>
                <w:color w:val="auto"/>
                <w:kern w:val="0"/>
                <w:szCs w:val="21"/>
                <w:highlight w:val="none"/>
                <w:lang w:bidi="ar"/>
              </w:rPr>
              <w:t>其他依法应当载明的内容</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724BCFA2">
            <w:pPr>
              <w:pStyle w:val="2"/>
              <w:pageBreakBefore w:val="0"/>
              <w:overflowPunct/>
              <w:bidi w:val="0"/>
              <w:ind w:right="0"/>
              <w:rPr>
                <w:rFonts w:hint="eastAsia" w:asciiTheme="minorEastAsia" w:hAnsiTheme="minorEastAsia" w:eastAsiaTheme="minorEastAsia" w:cstheme="minorEastAsia"/>
                <w:b w:val="0"/>
                <w:bCs w:val="0"/>
                <w:color w:val="auto"/>
                <w:kern w:val="0"/>
                <w:sz w:val="21"/>
                <w:szCs w:val="21"/>
                <w:highlight w:val="none"/>
                <w:lang w:eastAsia="zh-CN"/>
              </w:rPr>
            </w:pPr>
            <w:r>
              <w:rPr>
                <w:rFonts w:hint="eastAsia" w:asciiTheme="minorEastAsia" w:hAnsiTheme="minorEastAsia" w:eastAsiaTheme="minorEastAsia" w:cstheme="minorEastAsia"/>
                <w:b w:val="0"/>
                <w:bCs w:val="0"/>
                <w:color w:val="auto"/>
                <w:kern w:val="0"/>
                <w:sz w:val="21"/>
                <w:szCs w:val="21"/>
                <w:highlight w:val="none"/>
                <w:lang w:eastAsia="zh-CN"/>
              </w:rPr>
              <w:t>1.招标文件一经发布，视作已发放给所有投标人，各投标人应及时下载电子版招标文件及图纸，否则所造成的一切后果由投标人自负。</w:t>
            </w:r>
          </w:p>
          <w:p w14:paraId="6A9F6D72">
            <w:pPr>
              <w:pStyle w:val="2"/>
              <w:pageBreakBefore w:val="0"/>
              <w:overflowPunct/>
              <w:bidi w:val="0"/>
              <w:ind w:right="0"/>
              <w:rPr>
                <w:rFonts w:hint="eastAsia" w:asciiTheme="minorEastAsia" w:hAnsiTheme="minorEastAsia" w:eastAsiaTheme="minorEastAsia" w:cstheme="minorEastAsia"/>
                <w:b w:val="0"/>
                <w:bCs w:val="0"/>
                <w:color w:val="auto"/>
                <w:kern w:val="0"/>
                <w:sz w:val="21"/>
                <w:szCs w:val="21"/>
                <w:highlight w:val="none"/>
                <w:lang w:eastAsia="zh-CN"/>
              </w:rPr>
            </w:pPr>
            <w:r>
              <w:rPr>
                <w:rFonts w:hint="eastAsia" w:asciiTheme="minorEastAsia" w:hAnsiTheme="minorEastAsia" w:eastAsiaTheme="minorEastAsia" w:cstheme="minorEastAsia"/>
                <w:b w:val="0"/>
                <w:bCs w:val="0"/>
                <w:color w:val="auto"/>
                <w:kern w:val="0"/>
                <w:sz w:val="21"/>
                <w:szCs w:val="21"/>
                <w:highlight w:val="none"/>
                <w:lang w:eastAsia="zh-CN"/>
              </w:rPr>
              <w:t>2.递交投标文件截止时间与开标时间是否有变化，请密切留意澄清（答疑）、补充、修改等文件中的相关信息。</w:t>
            </w:r>
          </w:p>
          <w:p w14:paraId="5913DD4E">
            <w:pPr>
              <w:pStyle w:val="2"/>
              <w:pageBreakBefore w:val="0"/>
              <w:overflowPunct/>
              <w:bidi w:val="0"/>
              <w:ind w:right="0"/>
              <w:rPr>
                <w:rFonts w:hint="eastAsia" w:asciiTheme="minorEastAsia" w:hAnsiTheme="minorEastAsia" w:eastAsiaTheme="minorEastAsia" w:cstheme="minorEastAsia"/>
                <w:b w:val="0"/>
                <w:bCs w:val="0"/>
                <w:color w:val="auto"/>
                <w:kern w:val="0"/>
                <w:sz w:val="21"/>
                <w:szCs w:val="21"/>
                <w:highlight w:val="none"/>
                <w:lang w:eastAsia="zh-CN"/>
              </w:rPr>
            </w:pPr>
            <w:r>
              <w:rPr>
                <w:rFonts w:hint="eastAsia" w:asciiTheme="minorEastAsia" w:hAnsiTheme="minorEastAsia" w:eastAsiaTheme="minorEastAsia" w:cstheme="minorEastAsia"/>
                <w:b w:val="0"/>
                <w:bCs w:val="0"/>
                <w:color w:val="auto"/>
                <w:kern w:val="0"/>
                <w:sz w:val="21"/>
                <w:szCs w:val="21"/>
                <w:highlight w:val="none"/>
                <w:lang w:eastAsia="zh-CN"/>
              </w:rPr>
              <w:t>3.开标当日，投标人到场参与开标会，应在投标截止时间前到场，并带齐个人身份证原件和授权委托书（授权委托书应当明确授权的人员信息、权限和事项）当场提交与核验（开标会现场查验后当场退还）。</w:t>
            </w:r>
          </w:p>
          <w:p w14:paraId="7F3DD4E1">
            <w:pPr>
              <w:pStyle w:val="2"/>
              <w:pageBreakBefore w:val="0"/>
              <w:overflowPunct/>
              <w:bidi w:val="0"/>
              <w:ind w:right="0"/>
              <w:rPr>
                <w:rFonts w:hint="eastAsia" w:asciiTheme="minorEastAsia" w:hAnsiTheme="minorEastAsia" w:eastAsiaTheme="minorEastAsia" w:cstheme="minorEastAsia"/>
                <w:b w:val="0"/>
                <w:bCs w:val="0"/>
                <w:snapToGrid w:val="0"/>
                <w:color w:val="auto"/>
                <w:kern w:val="0"/>
                <w:sz w:val="21"/>
                <w:szCs w:val="21"/>
                <w:highlight w:val="none"/>
                <w:lang w:val="en-US" w:eastAsia="en-US" w:bidi="ar-SA"/>
              </w:rPr>
            </w:pP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4</w:t>
            </w:r>
            <w:r>
              <w:rPr>
                <w:rFonts w:hint="eastAsia" w:asciiTheme="minorEastAsia" w:hAnsiTheme="minorEastAsia" w:eastAsiaTheme="minorEastAsia" w:cstheme="minorEastAsia"/>
                <w:b w:val="0"/>
                <w:bCs w:val="0"/>
                <w:snapToGrid w:val="0"/>
                <w:color w:val="auto"/>
                <w:kern w:val="0"/>
                <w:sz w:val="21"/>
                <w:szCs w:val="21"/>
                <w:highlight w:val="none"/>
                <w:lang w:val="en-US" w:eastAsia="en-US" w:bidi="ar-SA"/>
              </w:rPr>
              <w:t>.本采购项目为国企采购</w:t>
            </w: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w:t>
            </w:r>
            <w:r>
              <w:rPr>
                <w:rFonts w:hint="eastAsia" w:asciiTheme="minorEastAsia" w:hAnsiTheme="minorEastAsia" w:eastAsiaTheme="minorEastAsia" w:cstheme="minorEastAsia"/>
                <w:b w:val="0"/>
                <w:bCs w:val="0"/>
                <w:snapToGrid w:val="0"/>
                <w:color w:val="auto"/>
                <w:kern w:val="0"/>
                <w:sz w:val="21"/>
                <w:szCs w:val="21"/>
                <w:highlight w:val="none"/>
                <w:lang w:val="en-US" w:eastAsia="en-US" w:bidi="ar-SA"/>
              </w:rPr>
              <w:t>非工程招标及非政府采购。</w:t>
            </w:r>
          </w:p>
          <w:p w14:paraId="470CF5F5">
            <w:pPr>
              <w:pStyle w:val="2"/>
              <w:pageBreakBefore w:val="0"/>
              <w:overflowPunct/>
              <w:bidi w:val="0"/>
              <w:ind w:right="0"/>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5.本项目不设置报名环节且须在网上获取招标文件：（1）本项目采用网上获取招标文件。投标人须先办理投标人信息入库后，并通过登录交易系统“佛山公共资源交易管理云平台”获取招标文件后，才能参与本项目的投标。</w:t>
            </w:r>
          </w:p>
          <w:p w14:paraId="4FD701E7">
            <w:pPr>
              <w:pStyle w:val="2"/>
              <w:pageBreakBefore w:val="0"/>
              <w:overflowPunct/>
              <w:bidi w:val="0"/>
              <w:ind w:right="0"/>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（2）投标人信息入库具体操作方法请浏览“广东省公共资源交易平台（佛山市）-服务指南-交易类型- 佛山市公共资源交易综合管理云平台（新平台）操作手册汇总”的相关信息，咨询电话：佛山市公共资源交易综合管理云平台技术支撑电话：0757-83991581。</w:t>
            </w:r>
          </w:p>
          <w:p w14:paraId="37D9A5B2">
            <w:pPr>
              <w:pStyle w:val="2"/>
              <w:pageBreakBefore w:val="0"/>
              <w:overflowPunct/>
              <w:bidi w:val="0"/>
              <w:ind w:right="0"/>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（3） 已完成投标人信息入库的投标人应当在采购公告规定时间内，登录交易系统“佛山公共资源交易管理云平台”，按照系统提示下载招标文件。。</w:t>
            </w:r>
          </w:p>
          <w:p w14:paraId="19DC1FEB">
            <w:pPr>
              <w:pStyle w:val="2"/>
              <w:pageBreakBefore w:val="0"/>
              <w:overflowPunct/>
              <w:bidi w:val="0"/>
              <w:ind w:right="0"/>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（4）请投标人及时维护、更新佛山公共资源交易管理云平台-</w:t>
            </w:r>
            <w:r>
              <w:rPr>
                <w:rFonts w:hint="eastAsia" w:asciiTheme="minorEastAsia" w:hAnsiTheme="minorEastAsia" w:eastAsiaTheme="minorEastAsia" w:cstheme="minorEastAsia"/>
                <w:b w:val="0"/>
                <w:bCs w:val="0"/>
                <w:color w:val="auto"/>
                <w:kern w:val="0"/>
                <w:sz w:val="21"/>
                <w:szCs w:val="21"/>
                <w:highlight w:val="none"/>
                <w:lang w:eastAsia="zh-CN"/>
              </w:rPr>
              <w:t>交易乙方信息管理</w:t>
            </w:r>
            <w:r>
              <w:rPr>
                <w:rFonts w:hint="eastAsia" w:asciiTheme="minorEastAsia" w:hAnsiTheme="minorEastAsia" w:eastAsiaTheme="minorEastAsia" w:cstheme="minorEastAsia"/>
                <w:b w:val="0"/>
                <w:bCs w:val="0"/>
                <w:color w:val="auto"/>
                <w:kern w:val="0"/>
                <w:sz w:val="21"/>
                <w:szCs w:val="21"/>
                <w:highlight w:val="none"/>
                <w:lang w:val="en-US" w:eastAsia="zh-CN"/>
              </w:rPr>
              <w:t>流程</w:t>
            </w: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相关信息及资料，具体操作详见“佛山市公共资源交易综合管理云平台（新平台）操作手册汇总”。</w:t>
            </w:r>
          </w:p>
          <w:p w14:paraId="5ABE7DB2">
            <w:pPr>
              <w:pStyle w:val="2"/>
              <w:pageBreakBefore w:val="0"/>
              <w:overflowPunct/>
              <w:bidi w:val="0"/>
              <w:ind w:right="0"/>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6.询问、质疑（异议）：</w:t>
            </w:r>
          </w:p>
          <w:p w14:paraId="1E1E48BD">
            <w:pPr>
              <w:pStyle w:val="2"/>
              <w:pageBreakBefore w:val="0"/>
              <w:overflowPunct/>
              <w:bidi w:val="0"/>
              <w:ind w:right="0"/>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（1）各投标人对招标文件存有任何疑问，可在招标文件约定的时间内，向招标人或者招标代理机构提出询问或质疑。</w:t>
            </w:r>
          </w:p>
          <w:p w14:paraId="480F40DD">
            <w:pPr>
              <w:pStyle w:val="2"/>
              <w:pageBreakBefore w:val="0"/>
              <w:overflowPunct/>
              <w:bidi w:val="0"/>
              <w:ind w:right="0"/>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（2）询问函、质疑（异议）函的内容和格式应符合法规及招标文件要求，并应按照招标文件规定方式进行提交。</w:t>
            </w:r>
          </w:p>
          <w:p w14:paraId="02F60BA0">
            <w:pPr>
              <w:pStyle w:val="2"/>
              <w:pageBreakBefore w:val="0"/>
              <w:overflowPunct/>
              <w:bidi w:val="0"/>
              <w:ind w:right="0"/>
              <w:rPr>
                <w:rFonts w:hint="default" w:asciiTheme="minorEastAsia" w:hAnsiTheme="minorEastAsia" w:eastAsiaTheme="minorEastAsia" w:cstheme="minorEastAsia"/>
                <w:b w:val="0"/>
                <w:bCs w:val="0"/>
                <w:snapToGrid w:val="0"/>
                <w:color w:val="auto"/>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auto"/>
                <w:kern w:val="0"/>
                <w:sz w:val="21"/>
                <w:szCs w:val="21"/>
                <w:highlight w:val="none"/>
                <w:lang w:val="en-US" w:eastAsia="zh-CN" w:bidi="ar-SA"/>
              </w:rPr>
              <w:t>（3）投标人登录“佛山公共资源交易管理云平台”，进入“提问/质疑”，填写相关信息，并将询问函/质疑函及相关证明材料按云平台要求进行提交。</w:t>
            </w:r>
          </w:p>
        </w:tc>
      </w:tr>
    </w:tbl>
    <w:p w14:paraId="00C760D9">
      <w:pPr>
        <w:pageBreakBefore w:val="0"/>
        <w:overflowPunct/>
        <w:bidi w:val="0"/>
        <w:spacing w:line="192" w:lineRule="exact"/>
        <w:ind w:right="0"/>
        <w:rPr>
          <w:color w:val="auto"/>
          <w:sz w:val="16"/>
          <w:szCs w:val="16"/>
          <w:highlight w:val="none"/>
        </w:rPr>
        <w:sectPr>
          <w:footerReference r:id="rId7" w:type="default"/>
          <w:pgSz w:w="11906" w:h="16839"/>
          <w:pgMar w:top="1134" w:right="1134" w:bottom="1045" w:left="1134" w:header="0" w:footer="886" w:gutter="0"/>
          <w:pgNumType w:fmt="decimal"/>
          <w:cols w:space="720" w:num="1"/>
        </w:sectPr>
      </w:pPr>
    </w:p>
    <w:p w14:paraId="2BAB806F">
      <w:pPr>
        <w:pStyle w:val="4"/>
        <w:keepNext/>
        <w:keepLines/>
        <w:pageBreakBefore w:val="0"/>
        <w:widowControl w:val="0"/>
        <w:kinsoku/>
        <w:wordWrap/>
        <w:overflowPunct/>
        <w:topLinePunct w:val="0"/>
        <w:autoSpaceDE/>
        <w:autoSpaceDN/>
        <w:bidi w:val="0"/>
        <w:adjustRightInd/>
        <w:snapToGrid/>
        <w:spacing w:line="240" w:lineRule="auto"/>
        <w:ind w:right="0"/>
        <w:textAlignment w:val="auto"/>
        <w:rPr>
          <w:rFonts w:hint="eastAsia" w:ascii="Times New Roman" w:hAnsi="Times New Roman" w:cs="Times New Roman"/>
          <w:color w:val="auto"/>
          <w:sz w:val="28"/>
          <w:szCs w:val="40"/>
          <w:highlight w:val="none"/>
        </w:rPr>
      </w:pPr>
      <w:bookmarkStart w:id="20" w:name="bookmark4"/>
      <w:bookmarkEnd w:id="20"/>
      <w:bookmarkStart w:id="21" w:name="_Toc10132"/>
      <w:bookmarkStart w:id="22" w:name="_Toc11099"/>
      <w:bookmarkStart w:id="23" w:name="_Toc433870366"/>
      <w:bookmarkStart w:id="24" w:name="_Toc2963"/>
      <w:bookmarkStart w:id="25" w:name="_Toc14068"/>
      <w:bookmarkStart w:id="26" w:name="_Toc17206"/>
      <w:bookmarkStart w:id="27" w:name="_Toc268144038"/>
      <w:bookmarkStart w:id="28" w:name="_Toc25507"/>
      <w:bookmarkStart w:id="29" w:name="_Toc3327"/>
      <w:bookmarkStart w:id="30" w:name="_Toc437960983"/>
      <w:bookmarkStart w:id="31" w:name="_Toc30452"/>
      <w:bookmarkStart w:id="32" w:name="_Toc1404"/>
      <w:bookmarkStart w:id="33" w:name="_Toc26007"/>
      <w:bookmarkStart w:id="34" w:name="_Toc13599"/>
      <w:bookmarkStart w:id="35" w:name="_Toc25064"/>
      <w:bookmarkStart w:id="36" w:name="_Toc11259"/>
      <w:bookmarkStart w:id="37" w:name="_Toc152042303"/>
      <w:bookmarkStart w:id="38" w:name="_Toc152045527"/>
      <w:bookmarkStart w:id="39" w:name="_Toc5035"/>
      <w:bookmarkStart w:id="40" w:name="_Toc144974495"/>
      <w:bookmarkStart w:id="41" w:name="_Toc21351"/>
      <w:bookmarkStart w:id="42" w:name="_Toc32060"/>
      <w:bookmarkStart w:id="43" w:name="_Toc359208418"/>
      <w:r>
        <w:rPr>
          <w:rFonts w:hint="eastAsia" w:ascii="Times New Roman" w:hAnsi="Times New Roman" w:cs="Times New Roman"/>
          <w:color w:val="auto"/>
          <w:sz w:val="28"/>
          <w:szCs w:val="40"/>
          <w:highlight w:val="none"/>
        </w:rPr>
        <w:t>第</w:t>
      </w:r>
      <w:r>
        <w:rPr>
          <w:rFonts w:hint="eastAsia" w:ascii="Times New Roman" w:hAnsi="Times New Roman" w:cs="Times New Roman"/>
          <w:color w:val="auto"/>
          <w:sz w:val="28"/>
          <w:szCs w:val="40"/>
          <w:highlight w:val="none"/>
          <w:lang w:val="en-US" w:eastAsia="zh-CN"/>
        </w:rPr>
        <w:t>三</w:t>
      </w:r>
      <w:r>
        <w:rPr>
          <w:rFonts w:hint="eastAsia" w:ascii="Times New Roman" w:hAnsi="Times New Roman" w:cs="Times New Roman"/>
          <w:color w:val="auto"/>
          <w:sz w:val="28"/>
          <w:szCs w:val="40"/>
          <w:highlight w:val="none"/>
        </w:rPr>
        <w:t>章 投标人须知</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70D5ACBB">
      <w:pPr>
        <w:keepNext w:val="0"/>
        <w:keepLines w:val="0"/>
        <w:pageBreakBefore w:val="0"/>
        <w:widowControl w:val="0"/>
        <w:kinsoku/>
        <w:wordWrap/>
        <w:overflowPunct/>
        <w:topLinePunct w:val="0"/>
        <w:autoSpaceDE/>
        <w:autoSpaceDN/>
        <w:bidi w:val="0"/>
        <w:adjustRightInd/>
        <w:snapToGrid/>
        <w:spacing w:line="320" w:lineRule="exact"/>
        <w:ind w:right="0"/>
        <w:jc w:val="both"/>
        <w:textAlignment w:val="auto"/>
        <w:outlineLvl w:val="9"/>
        <w:rPr>
          <w:rFonts w:hint="eastAsia" w:ascii="Times New Roman" w:hAnsi="Times New Roman" w:eastAsia="黑体" w:cs="Times New Roman"/>
          <w:b/>
          <w:bCs/>
          <w:color w:val="auto"/>
          <w:kern w:val="32"/>
          <w:sz w:val="22"/>
          <w:szCs w:val="32"/>
          <w:highlight w:val="none"/>
        </w:rPr>
      </w:pPr>
      <w:bookmarkStart w:id="44" w:name="_Toc152045528"/>
      <w:bookmarkStart w:id="45" w:name="_Toc144974496"/>
      <w:bookmarkStart w:id="46" w:name="_Toc28429"/>
      <w:bookmarkStart w:id="47" w:name="_Toc152042304"/>
      <w:bookmarkStart w:id="48" w:name="_Toc4384"/>
      <w:bookmarkStart w:id="49" w:name="_Toc28127"/>
      <w:bookmarkStart w:id="50" w:name="_Toc437960984"/>
      <w:bookmarkStart w:id="51" w:name="_Toc26376"/>
      <w:bookmarkStart w:id="52" w:name="_Toc16015"/>
      <w:bookmarkStart w:id="53" w:name="_Toc20393"/>
      <w:bookmarkStart w:id="54" w:name="_Toc26554"/>
      <w:bookmarkStart w:id="55" w:name="_Toc12523"/>
      <w:bookmarkStart w:id="56" w:name="_Toc359208419"/>
      <w:bookmarkStart w:id="57" w:name="_Toc31177"/>
      <w:r>
        <w:rPr>
          <w:rFonts w:hint="eastAsia" w:ascii="黑体" w:hAnsi="黑体" w:eastAsia="黑体" w:cs="黑体"/>
          <w:b/>
          <w:bCs w:val="0"/>
          <w:color w:val="auto"/>
          <w:kern w:val="2"/>
          <w:sz w:val="24"/>
          <w:szCs w:val="24"/>
          <w:highlight w:val="none"/>
        </w:rPr>
        <w:t>投标人须知前附表</w:t>
      </w:r>
      <w:bookmarkEnd w:id="44"/>
      <w:bookmarkEnd w:id="45"/>
      <w:bookmarkEnd w:id="46"/>
      <w:bookmarkEnd w:id="47"/>
      <w:bookmarkEnd w:id="48"/>
      <w:bookmarkEnd w:id="49"/>
      <w:bookmarkEnd w:id="50"/>
      <w:bookmarkEnd w:id="51"/>
      <w:bookmarkEnd w:id="52"/>
      <w:bookmarkEnd w:id="53"/>
      <w:bookmarkEnd w:id="54"/>
      <w:bookmarkEnd w:id="55"/>
      <w:bookmarkEnd w:id="56"/>
      <w:bookmarkEnd w:id="57"/>
    </w:p>
    <w:tbl>
      <w:tblPr>
        <w:tblStyle w:val="17"/>
        <w:tblW w:w="0" w:type="auto"/>
        <w:tblInd w:w="-249" w:type="dxa"/>
        <w:tblLayout w:type="fixed"/>
        <w:tblCellMar>
          <w:top w:w="0" w:type="dxa"/>
          <w:left w:w="108" w:type="dxa"/>
          <w:bottom w:w="0" w:type="dxa"/>
          <w:right w:w="108" w:type="dxa"/>
        </w:tblCellMar>
      </w:tblPr>
      <w:tblGrid>
        <w:gridCol w:w="795"/>
        <w:gridCol w:w="1788"/>
        <w:gridCol w:w="7393"/>
      </w:tblGrid>
      <w:tr w14:paraId="51EF5B38">
        <w:tblPrEx>
          <w:tblCellMar>
            <w:top w:w="0" w:type="dxa"/>
            <w:left w:w="108" w:type="dxa"/>
            <w:bottom w:w="0" w:type="dxa"/>
            <w:right w:w="108" w:type="dxa"/>
          </w:tblCellMar>
        </w:tblPrEx>
        <w:trPr>
          <w:trHeight w:val="656" w:hRule="atLeast"/>
          <w:tblHeader/>
        </w:trPr>
        <w:tc>
          <w:tcPr>
            <w:tcW w:w="795" w:type="dxa"/>
            <w:tcBorders>
              <w:top w:val="single" w:color="auto" w:sz="4" w:space="0"/>
              <w:left w:val="single" w:color="auto" w:sz="4" w:space="0"/>
              <w:bottom w:val="single" w:color="auto" w:sz="4" w:space="0"/>
              <w:right w:val="single" w:color="auto" w:sz="4" w:space="0"/>
            </w:tcBorders>
            <w:shd w:val="clear" w:color="auto" w:fill="E6E6E6"/>
            <w:noWrap w:val="0"/>
            <w:vAlign w:val="center"/>
          </w:tcPr>
          <w:p w14:paraId="4822DC56">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b/>
                <w:color w:val="auto"/>
                <w:sz w:val="24"/>
                <w:highlight w:val="none"/>
              </w:rPr>
            </w:pPr>
            <w:r>
              <w:rPr>
                <w:rFonts w:ascii="宋体" w:hAnsi="宋体"/>
                <w:b/>
                <w:color w:val="auto"/>
                <w:sz w:val="24"/>
                <w:highlight w:val="none"/>
              </w:rPr>
              <w:t>条款号</w:t>
            </w:r>
          </w:p>
        </w:tc>
        <w:tc>
          <w:tcPr>
            <w:tcW w:w="1788" w:type="dxa"/>
            <w:tcBorders>
              <w:top w:val="single" w:color="auto" w:sz="4" w:space="0"/>
              <w:left w:val="single" w:color="auto" w:sz="4" w:space="0"/>
              <w:bottom w:val="single" w:color="auto" w:sz="4" w:space="0"/>
              <w:right w:val="single" w:color="auto" w:sz="4" w:space="0"/>
            </w:tcBorders>
            <w:shd w:val="clear" w:color="auto" w:fill="E6E6E6"/>
            <w:noWrap w:val="0"/>
            <w:vAlign w:val="center"/>
          </w:tcPr>
          <w:p w14:paraId="7EE238E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b/>
                <w:color w:val="auto"/>
                <w:sz w:val="24"/>
                <w:highlight w:val="none"/>
              </w:rPr>
            </w:pPr>
            <w:r>
              <w:rPr>
                <w:rFonts w:ascii="宋体" w:hAnsi="宋体"/>
                <w:b/>
                <w:color w:val="auto"/>
                <w:sz w:val="24"/>
                <w:highlight w:val="none"/>
              </w:rPr>
              <w:t>条 款 名 称</w:t>
            </w:r>
          </w:p>
        </w:tc>
        <w:tc>
          <w:tcPr>
            <w:tcW w:w="7393" w:type="dxa"/>
            <w:tcBorders>
              <w:top w:val="single" w:color="auto" w:sz="4" w:space="0"/>
              <w:left w:val="single" w:color="auto" w:sz="4" w:space="0"/>
              <w:bottom w:val="single" w:color="auto" w:sz="4" w:space="0"/>
              <w:right w:val="single" w:color="auto" w:sz="4" w:space="0"/>
            </w:tcBorders>
            <w:shd w:val="clear" w:color="auto" w:fill="E6E6E6"/>
            <w:noWrap w:val="0"/>
            <w:vAlign w:val="center"/>
          </w:tcPr>
          <w:p w14:paraId="48D0F07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b/>
                <w:color w:val="auto"/>
                <w:sz w:val="24"/>
                <w:highlight w:val="none"/>
              </w:rPr>
            </w:pPr>
            <w:r>
              <w:rPr>
                <w:rFonts w:ascii="宋体" w:hAnsi="宋体"/>
                <w:b/>
                <w:color w:val="auto"/>
                <w:sz w:val="24"/>
                <w:highlight w:val="none"/>
              </w:rPr>
              <w:t>编  列  内  容</w:t>
            </w:r>
          </w:p>
        </w:tc>
      </w:tr>
      <w:tr w14:paraId="67D4B65B">
        <w:tblPrEx>
          <w:tblCellMar>
            <w:top w:w="0" w:type="dxa"/>
            <w:left w:w="108" w:type="dxa"/>
            <w:bottom w:w="0" w:type="dxa"/>
            <w:right w:w="108" w:type="dxa"/>
          </w:tblCellMar>
        </w:tblPrEx>
        <w:trPr>
          <w:trHeight w:val="585"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25B4D1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ascii="宋体" w:hAnsi="宋体"/>
                <w:color w:val="auto"/>
                <w:sz w:val="21"/>
                <w:szCs w:val="21"/>
                <w:highlight w:val="none"/>
              </w:rPr>
              <w:t>1.1.4</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710A94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招标</w:t>
            </w:r>
            <w:r>
              <w:rPr>
                <w:rFonts w:hint="eastAsia" w:ascii="宋体" w:hAnsi="宋体"/>
                <w:color w:val="auto"/>
                <w:sz w:val="21"/>
                <w:szCs w:val="21"/>
                <w:highlight w:val="none"/>
                <w:lang w:eastAsia="zh-CN"/>
              </w:rPr>
              <w:t>项目名称</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0D1AB3D8">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Theme="minorEastAsia"/>
                <w:color w:val="auto"/>
                <w:sz w:val="21"/>
                <w:szCs w:val="21"/>
                <w:highlight w:val="none"/>
                <w:shd w:val="pct10" w:color="auto" w:fill="FFFFFF"/>
                <w:lang w:eastAsia="zh-CN"/>
              </w:rPr>
            </w:pPr>
            <w:r>
              <w:rPr>
                <w:rFonts w:hint="eastAsia" w:asciiTheme="minorEastAsia" w:hAnsiTheme="minorEastAsia" w:eastAsiaTheme="minorEastAsia" w:cstheme="minorEastAsia"/>
                <w:color w:val="auto"/>
                <w:szCs w:val="21"/>
                <w:highlight w:val="none"/>
                <w:lang w:eastAsia="zh-CN"/>
              </w:rPr>
              <w:t>佛山顺德粤港澳协同发展合作区排水管网建设及改造工程（二期、三期、四期）水土保持监测</w:t>
            </w:r>
          </w:p>
        </w:tc>
      </w:tr>
      <w:tr w14:paraId="705F44A8">
        <w:tblPrEx>
          <w:tblCellMar>
            <w:top w:w="0" w:type="dxa"/>
            <w:left w:w="108" w:type="dxa"/>
            <w:bottom w:w="0" w:type="dxa"/>
            <w:right w:w="108" w:type="dxa"/>
          </w:tblCellMar>
        </w:tblPrEx>
        <w:trPr>
          <w:trHeight w:val="585"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0EDCCAE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kern w:val="2"/>
                <w:sz w:val="21"/>
                <w:szCs w:val="21"/>
                <w:highlight w:val="none"/>
                <w:lang w:val="en-US" w:eastAsia="zh-CN" w:bidi="ar-SA"/>
              </w:rPr>
            </w:pPr>
            <w:r>
              <w:rPr>
                <w:rFonts w:ascii="宋体" w:hAnsi="宋体"/>
                <w:color w:val="auto"/>
                <w:sz w:val="21"/>
                <w:szCs w:val="21"/>
                <w:highlight w:val="none"/>
              </w:rPr>
              <w:t>1.2.2</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003F4C39">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ascii="宋体" w:hAnsi="宋体"/>
                <w:color w:val="auto"/>
                <w:sz w:val="21"/>
                <w:szCs w:val="21"/>
                <w:highlight w:val="none"/>
              </w:rPr>
              <w:t>出资比例</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1FA83EA2">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s="仿宋_GB2312"/>
                <w:color w:val="auto"/>
                <w:sz w:val="21"/>
                <w:szCs w:val="21"/>
                <w:highlight w:val="none"/>
                <w:lang w:val="en-US" w:eastAsia="zh-CN"/>
              </w:rPr>
            </w:pPr>
            <w:r>
              <w:rPr>
                <w:rFonts w:hint="eastAsia" w:asciiTheme="minorEastAsia" w:hAnsiTheme="minorEastAsia" w:eastAsiaTheme="minorEastAsia" w:cstheme="minorEastAsia"/>
                <w:color w:val="auto"/>
                <w:szCs w:val="21"/>
                <w:highlight w:val="none"/>
              </w:rPr>
              <w:t>国有资金：5.72%,私有资金:0%,外国政府及组织投资：0%,境外私人投资：0%,政府投资:94.28%, 其他国有:0%</w:t>
            </w:r>
          </w:p>
        </w:tc>
      </w:tr>
      <w:tr w14:paraId="7DDDDCA0">
        <w:tblPrEx>
          <w:tblCellMar>
            <w:top w:w="0" w:type="dxa"/>
            <w:left w:w="108" w:type="dxa"/>
            <w:bottom w:w="0" w:type="dxa"/>
            <w:right w:w="108" w:type="dxa"/>
          </w:tblCellMar>
        </w:tblPrEx>
        <w:trPr>
          <w:trHeight w:val="585"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6B46448A">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kern w:val="2"/>
                <w:sz w:val="21"/>
                <w:szCs w:val="21"/>
                <w:highlight w:val="none"/>
                <w:lang w:val="en-US" w:eastAsia="zh-CN" w:bidi="ar-SA"/>
              </w:rPr>
            </w:pPr>
            <w:r>
              <w:rPr>
                <w:rFonts w:ascii="宋体" w:hAnsi="宋体"/>
                <w:color w:val="auto"/>
                <w:sz w:val="21"/>
                <w:szCs w:val="21"/>
                <w:highlight w:val="none"/>
              </w:rPr>
              <w:t>1.2.3</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0B3E9C7A">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rPr>
              <w:t>资金</w:t>
            </w:r>
            <w:r>
              <w:rPr>
                <w:rFonts w:ascii="宋体" w:hAnsi="宋体"/>
                <w:color w:val="auto"/>
                <w:sz w:val="21"/>
                <w:szCs w:val="21"/>
                <w:highlight w:val="none"/>
              </w:rPr>
              <w:t>落实情况</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557F69B7">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已落实</w:t>
            </w:r>
          </w:p>
        </w:tc>
      </w:tr>
      <w:tr w14:paraId="4711E2A3">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6B412F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ascii="宋体" w:hAnsi="宋体"/>
                <w:color w:val="auto"/>
                <w:sz w:val="21"/>
                <w:szCs w:val="21"/>
                <w:highlight w:val="none"/>
              </w:rPr>
              <w:t>1.4.2</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F9F683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Cs w:val="21"/>
                <w:highlight w:val="none"/>
              </w:rPr>
            </w:pPr>
            <w:r>
              <w:rPr>
                <w:rFonts w:ascii="宋体" w:hAnsi="宋体"/>
                <w:color w:val="auto"/>
                <w:sz w:val="21"/>
                <w:szCs w:val="21"/>
                <w:highlight w:val="none"/>
              </w:rPr>
              <w:t>是否接受联合体投标</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07715F65">
            <w:pPr>
              <w:keepNext w:val="0"/>
              <w:keepLines w:val="0"/>
              <w:pageBreakBefore w:val="0"/>
              <w:kinsoku/>
              <w:wordWrap/>
              <w:overflowPunct/>
              <w:topLinePunct w:val="0"/>
              <w:autoSpaceDE/>
              <w:autoSpaceDN/>
              <w:bidi w:val="0"/>
              <w:adjustRightInd/>
              <w:snapToGrid/>
              <w:spacing w:afterLines="0" w:line="312" w:lineRule="auto"/>
              <w:ind w:right="0"/>
              <w:jc w:val="left"/>
              <w:textAlignment w:val="auto"/>
              <w:rPr>
                <w:rFonts w:hint="eastAsia" w:ascii="宋体" w:hAnsi="宋体" w:cs="宋体"/>
                <w:color w:val="auto"/>
                <w:kern w:val="0"/>
                <w:sz w:val="21"/>
                <w:szCs w:val="21"/>
                <w:highlight w:val="none"/>
              </w:rPr>
            </w:pPr>
            <w:r>
              <w:rPr>
                <w:rFonts w:hint="eastAsia" w:ascii="宋体" w:hAnsi="宋体"/>
                <w:color w:val="auto"/>
                <w:kern w:val="2"/>
                <w:sz w:val="21"/>
                <w:szCs w:val="21"/>
                <w:highlight w:val="none"/>
                <w:lang w:eastAsia="zh-CN"/>
              </w:rPr>
              <w:t>☑</w:t>
            </w:r>
            <w:r>
              <w:rPr>
                <w:rFonts w:hint="eastAsia" w:ascii="宋体" w:hAnsi="宋体" w:cs="宋体"/>
                <w:color w:val="auto"/>
                <w:kern w:val="0"/>
                <w:sz w:val="21"/>
                <w:szCs w:val="21"/>
                <w:highlight w:val="none"/>
              </w:rPr>
              <w:t>不接受</w:t>
            </w:r>
          </w:p>
          <w:p w14:paraId="693DD02F">
            <w:pPr>
              <w:keepNext w:val="0"/>
              <w:keepLines w:val="0"/>
              <w:pageBreakBefore w:val="0"/>
              <w:kinsoku/>
              <w:wordWrap/>
              <w:overflowPunct/>
              <w:topLinePunct w:val="0"/>
              <w:autoSpaceDE/>
              <w:autoSpaceDN/>
              <w:bidi w:val="0"/>
              <w:adjustRightInd/>
              <w:snapToGrid/>
              <w:spacing w:afterLines="0" w:line="312" w:lineRule="auto"/>
              <w:ind w:right="0"/>
              <w:jc w:val="left"/>
              <w:textAlignment w:val="auto"/>
              <w:rPr>
                <w:rFonts w:hint="eastAsia" w:ascii="宋体" w:hAnsi="宋体" w:eastAsia="宋体"/>
                <w:color w:val="auto"/>
                <w:szCs w:val="21"/>
                <w:highlight w:val="none"/>
                <w:lang w:val="en-US" w:eastAsia="zh-CN"/>
              </w:rPr>
            </w:pPr>
            <w:r>
              <w:rPr>
                <w:rFonts w:hint="eastAsia" w:ascii="宋体" w:hAnsi="宋体"/>
                <w:color w:val="auto"/>
                <w:kern w:val="2"/>
                <w:sz w:val="21"/>
                <w:szCs w:val="21"/>
                <w:highlight w:val="none"/>
                <w:lang w:eastAsia="zh-CN"/>
              </w:rPr>
              <w:t>□</w:t>
            </w:r>
            <w:r>
              <w:rPr>
                <w:rFonts w:hint="eastAsia" w:ascii="宋体" w:hAnsi="宋体" w:cs="宋体"/>
                <w:color w:val="auto"/>
                <w:kern w:val="0"/>
                <w:sz w:val="21"/>
                <w:szCs w:val="21"/>
                <w:highlight w:val="none"/>
              </w:rPr>
              <w:t>接受</w:t>
            </w:r>
            <w:r>
              <w:rPr>
                <w:rFonts w:hint="eastAsia" w:ascii="宋体" w:hAnsi="宋体"/>
                <w:color w:val="auto"/>
                <w:sz w:val="21"/>
                <w:szCs w:val="21"/>
                <w:highlight w:val="none"/>
              </w:rPr>
              <w:t>，</w:t>
            </w:r>
            <w:r>
              <w:rPr>
                <w:rFonts w:hint="eastAsia" w:ascii="宋体" w:hAnsi="宋体" w:cs="仿宋_GB2312"/>
                <w:color w:val="auto"/>
                <w:sz w:val="21"/>
                <w:szCs w:val="21"/>
                <w:highlight w:val="none"/>
              </w:rPr>
              <w:t>联合体投标人除应符合投标人应当具备的资格条件外，还应遵守以下规定：</w:t>
            </w:r>
            <w:r>
              <w:rPr>
                <w:rFonts w:hint="eastAsia" w:ascii="宋体" w:hAnsi="宋体" w:eastAsia="宋体" w:cs="宋体"/>
                <w:b/>
                <w:bCs/>
                <w:color w:val="auto"/>
                <w:sz w:val="21"/>
                <w:szCs w:val="21"/>
                <w:highlight w:val="none"/>
                <w:u w:val="single"/>
                <w:lang w:val="en-US" w:eastAsia="zh-CN"/>
              </w:rPr>
              <w:t xml:space="preserve"> /</w:t>
            </w:r>
          </w:p>
        </w:tc>
      </w:tr>
      <w:tr w14:paraId="52E9694D">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1AFEA1EB">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1.11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5E2E2E77">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分包</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1EB5DCCB">
            <w:pPr>
              <w:keepNext w:val="0"/>
              <w:keepLines w:val="0"/>
              <w:pageBreakBefore w:val="0"/>
              <w:kinsoku/>
              <w:wordWrap/>
              <w:overflowPunct/>
              <w:topLinePunct w:val="0"/>
              <w:autoSpaceDE/>
              <w:autoSpaceDN/>
              <w:bidi w:val="0"/>
              <w:adjustRightInd/>
              <w:snapToGrid/>
              <w:spacing w:afterLines="0" w:line="312" w:lineRule="auto"/>
              <w:ind w:right="0" w:firstLine="0" w:firstLineChars="0"/>
              <w:textAlignment w:val="auto"/>
              <w:rPr>
                <w:rFonts w:hint="eastAsia"/>
                <w:color w:val="auto"/>
                <w:szCs w:val="21"/>
                <w:highlight w:val="none"/>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不允许</w:t>
            </w:r>
          </w:p>
          <w:p w14:paraId="7F6A725E">
            <w:pPr>
              <w:keepNext w:val="0"/>
              <w:keepLines w:val="0"/>
              <w:pageBreakBefore w:val="0"/>
              <w:kinsoku/>
              <w:wordWrap/>
              <w:overflowPunct/>
              <w:topLinePunct w:val="0"/>
              <w:autoSpaceDE/>
              <w:autoSpaceDN/>
              <w:bidi w:val="0"/>
              <w:adjustRightInd/>
              <w:snapToGrid/>
              <w:spacing w:afterLines="0"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允许，分包内容要求：</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w:t>
            </w:r>
            <w:r>
              <w:rPr>
                <w:rFonts w:hint="eastAsia" w:ascii="宋体" w:hAnsi="宋体"/>
                <w:color w:val="auto"/>
                <w:sz w:val="21"/>
                <w:szCs w:val="21"/>
                <w:highlight w:val="none"/>
                <w:u w:val="single"/>
              </w:rPr>
              <w:t xml:space="preserve">   </w:t>
            </w:r>
          </w:p>
          <w:p w14:paraId="4B92FB3A">
            <w:pPr>
              <w:keepNext w:val="0"/>
              <w:keepLines w:val="0"/>
              <w:pageBreakBefore w:val="0"/>
              <w:kinsoku/>
              <w:wordWrap/>
              <w:overflowPunct/>
              <w:topLinePunct w:val="0"/>
              <w:autoSpaceDE/>
              <w:autoSpaceDN/>
              <w:bidi w:val="0"/>
              <w:adjustRightInd/>
              <w:snapToGrid/>
              <w:spacing w:afterLines="0" w:line="312" w:lineRule="auto"/>
              <w:ind w:right="0" w:firstLine="840" w:firstLineChars="400"/>
              <w:textAlignment w:val="auto"/>
              <w:rPr>
                <w:rFonts w:hint="eastAsia" w:ascii="宋体" w:hAnsi="宋体"/>
                <w:color w:val="auto"/>
                <w:sz w:val="21"/>
                <w:szCs w:val="21"/>
                <w:highlight w:val="none"/>
                <w:u w:val="single"/>
              </w:rPr>
            </w:pPr>
            <w:r>
              <w:rPr>
                <w:rFonts w:hint="eastAsia" w:ascii="宋体" w:hAnsi="宋体"/>
                <w:color w:val="auto"/>
                <w:sz w:val="21"/>
                <w:szCs w:val="21"/>
                <w:highlight w:val="none"/>
              </w:rPr>
              <w:t>分包金额要求：</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w:t>
            </w:r>
            <w:r>
              <w:rPr>
                <w:rFonts w:hint="eastAsia" w:ascii="宋体" w:hAnsi="宋体"/>
                <w:color w:val="auto"/>
                <w:sz w:val="21"/>
                <w:szCs w:val="21"/>
                <w:highlight w:val="none"/>
                <w:u w:val="single"/>
              </w:rPr>
              <w:t xml:space="preserve">   </w:t>
            </w:r>
          </w:p>
          <w:p w14:paraId="1E8B1D7E">
            <w:pPr>
              <w:keepNext w:val="0"/>
              <w:keepLines w:val="0"/>
              <w:pageBreakBefore w:val="0"/>
              <w:kinsoku/>
              <w:wordWrap/>
              <w:overflowPunct/>
              <w:topLinePunct w:val="0"/>
              <w:autoSpaceDE/>
              <w:autoSpaceDN/>
              <w:bidi w:val="0"/>
              <w:adjustRightInd/>
              <w:snapToGrid/>
              <w:spacing w:afterLines="0" w:line="312" w:lineRule="auto"/>
              <w:ind w:right="0" w:firstLine="0" w:firstLineChars="0"/>
              <w:textAlignment w:val="auto"/>
              <w:rPr>
                <w:rFonts w:hint="eastAsia" w:eastAsia="宋体"/>
                <w:color w:val="auto"/>
                <w:szCs w:val="21"/>
                <w:highlight w:val="none"/>
                <w:lang w:val="en-US" w:eastAsia="zh-CN"/>
              </w:rPr>
            </w:pPr>
            <w:r>
              <w:rPr>
                <w:rFonts w:hint="eastAsia" w:ascii="宋体" w:hAnsi="宋体"/>
                <w:color w:val="auto"/>
                <w:sz w:val="21"/>
                <w:szCs w:val="21"/>
                <w:highlight w:val="none"/>
              </w:rPr>
              <w:t>接受分包的第三人资质要求：</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w:t>
            </w:r>
          </w:p>
        </w:tc>
      </w:tr>
      <w:tr w14:paraId="0CEF492A">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691FD3E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1.12</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385297A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rPr>
              <w:t>偏离</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30E0306A">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不允许</w:t>
            </w:r>
          </w:p>
          <w:p w14:paraId="0B5FCDF4">
            <w:pPr>
              <w:keepNext w:val="0"/>
              <w:keepLines w:val="0"/>
              <w:pageBreakBefore w:val="0"/>
              <w:kinsoku/>
              <w:wordWrap/>
              <w:overflowPunct/>
              <w:topLinePunct w:val="0"/>
              <w:autoSpaceDE/>
              <w:autoSpaceDN/>
              <w:bidi w:val="0"/>
              <w:adjustRightIn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允许</w:t>
            </w:r>
          </w:p>
          <w:p w14:paraId="7F95B326">
            <w:pPr>
              <w:keepNext w:val="0"/>
              <w:keepLines w:val="0"/>
              <w:pageBreakBefore w:val="0"/>
              <w:kinsoku/>
              <w:wordWrap/>
              <w:overflowPunct/>
              <w:topLinePunct w:val="0"/>
              <w:autoSpaceDE/>
              <w:autoSpaceDN/>
              <w:bidi w:val="0"/>
              <w:adjustRightIn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允许偏离最高项数：</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w:t>
            </w:r>
            <w:r>
              <w:rPr>
                <w:rFonts w:hint="eastAsia" w:ascii="宋体" w:hAnsi="宋体"/>
                <w:color w:val="auto"/>
                <w:sz w:val="21"/>
                <w:szCs w:val="21"/>
                <w:highlight w:val="none"/>
                <w:u w:val="single"/>
              </w:rPr>
              <w:t xml:space="preserve">   </w:t>
            </w:r>
          </w:p>
          <w:p w14:paraId="28172FE8">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偏差调整方法：</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w:t>
            </w:r>
            <w:r>
              <w:rPr>
                <w:rFonts w:hint="eastAsia" w:ascii="宋体" w:hAnsi="宋体"/>
                <w:color w:val="auto"/>
                <w:sz w:val="21"/>
                <w:szCs w:val="21"/>
                <w:highlight w:val="none"/>
                <w:u w:val="single"/>
              </w:rPr>
              <w:t xml:space="preserve">   </w:t>
            </w:r>
          </w:p>
        </w:tc>
      </w:tr>
      <w:tr w14:paraId="6A0CAF21">
        <w:tblPrEx>
          <w:tblCellMar>
            <w:top w:w="0" w:type="dxa"/>
            <w:left w:w="108" w:type="dxa"/>
            <w:bottom w:w="0" w:type="dxa"/>
            <w:right w:w="108" w:type="dxa"/>
          </w:tblCellMar>
        </w:tblPrEx>
        <w:trPr>
          <w:trHeight w:val="417"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AC6DA47">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ascii="宋体" w:hAnsi="宋体"/>
                <w:color w:val="auto"/>
                <w:sz w:val="21"/>
                <w:szCs w:val="21"/>
                <w:highlight w:val="none"/>
              </w:rPr>
              <w:t>2.2.1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0969A9F">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ascii="宋体" w:hAnsi="宋体"/>
                <w:color w:val="auto"/>
                <w:sz w:val="21"/>
                <w:szCs w:val="21"/>
                <w:highlight w:val="none"/>
              </w:rPr>
              <w:t>投标人要求澄清招标文件的截止时间</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47D49C34">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s="宋体"/>
                <w:color w:val="auto"/>
                <w:sz w:val="21"/>
                <w:szCs w:val="21"/>
                <w:highlight w:val="none"/>
              </w:rPr>
              <w:t>（1）</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2026</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lang w:val="en-US" w:eastAsia="zh-CN"/>
              </w:rPr>
              <w:t>年</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 xml:space="preserve">9 </w:t>
            </w:r>
            <w:r>
              <w:rPr>
                <w:rFonts w:hint="eastAsia" w:ascii="宋体" w:hAnsi="宋体"/>
                <w:color w:val="auto"/>
                <w:sz w:val="21"/>
                <w:szCs w:val="21"/>
                <w:highlight w:val="none"/>
                <w:lang w:val="en-US" w:eastAsia="zh-CN"/>
              </w:rPr>
              <w:t>月</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29</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lang w:val="en-US" w:eastAsia="zh-CN"/>
              </w:rPr>
              <w:t>日</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17</w:t>
            </w:r>
            <w:r>
              <w:rPr>
                <w:rFonts w:hint="eastAsia" w:ascii="宋体" w:hAnsi="宋体"/>
                <w:color w:val="auto"/>
                <w:sz w:val="21"/>
                <w:szCs w:val="21"/>
                <w:highlight w:val="none"/>
                <w:lang w:val="en-US" w:eastAsia="zh-CN"/>
              </w:rPr>
              <w:t>时</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30</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lang w:val="en-US" w:eastAsia="zh-CN"/>
              </w:rPr>
              <w:t>分前</w:t>
            </w:r>
            <w:r>
              <w:rPr>
                <w:rFonts w:hint="eastAsia" w:ascii="宋体" w:hAnsi="宋体"/>
                <w:color w:val="auto"/>
                <w:sz w:val="21"/>
                <w:szCs w:val="21"/>
                <w:highlight w:val="none"/>
              </w:rPr>
              <w:t>。</w:t>
            </w:r>
          </w:p>
          <w:p w14:paraId="4FBCD026">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w:t>
            </w:r>
            <w:r>
              <w:rPr>
                <w:rFonts w:hint="eastAsia" w:ascii="宋体" w:hAnsi="宋体"/>
                <w:color w:val="auto"/>
                <w:sz w:val="21"/>
                <w:szCs w:val="21"/>
                <w:highlight w:val="none"/>
              </w:rPr>
              <w:t>提出澄清要求的形式：投标人登录“佛山市公共资源交易信息化综合平台”，进入“项目询问/质疑”填写相关信息，并将询问函及相关证明材料按综合平台要求进行提交。</w:t>
            </w:r>
          </w:p>
          <w:p w14:paraId="79C50D5D">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注：未按上述时间及形式要求提交的投标疑问，招标人将不予受理，投标人须自行承担不利后果。</w:t>
            </w:r>
          </w:p>
        </w:tc>
      </w:tr>
      <w:tr w14:paraId="20A9DBCE">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CEC857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3.2.1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3BC93EF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rPr>
              <w:t>增值税税金的计算方法</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A6D30F1">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olor w:val="auto"/>
                <w:sz w:val="21"/>
                <w:szCs w:val="21"/>
                <w:highlight w:val="none"/>
                <w:u w:val="single"/>
                <w:lang w:val="en-US" w:eastAsia="zh-CN"/>
              </w:rPr>
            </w:pPr>
            <w:r>
              <w:rPr>
                <w:rFonts w:hint="eastAsia" w:ascii="宋体" w:hAnsi="宋体"/>
                <w:color w:val="auto"/>
                <w:sz w:val="21"/>
                <w:szCs w:val="21"/>
                <w:highlight w:val="none"/>
                <w:u w:val="single"/>
                <w:lang w:val="en-US" w:eastAsia="zh-CN"/>
              </w:rPr>
              <w:t>/</w:t>
            </w:r>
          </w:p>
        </w:tc>
      </w:tr>
      <w:tr w14:paraId="7B07C5D2">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5BB659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3.2.</w:t>
            </w:r>
            <w:r>
              <w:rPr>
                <w:rFonts w:hint="eastAsia" w:ascii="宋体" w:hAnsi="宋体"/>
                <w:color w:val="auto"/>
                <w:sz w:val="21"/>
                <w:szCs w:val="21"/>
                <w:highlight w:val="none"/>
                <w:lang w:val="en-US" w:eastAsia="zh-CN"/>
              </w:rPr>
              <w:t>4</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70E99A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lang w:eastAsia="zh-CN"/>
              </w:rPr>
              <w:t>招标控制价（最高投标限价）</w:t>
            </w:r>
            <w:r>
              <w:rPr>
                <w:rFonts w:hint="eastAsia" w:ascii="宋体" w:hAnsi="宋体"/>
                <w:color w:val="auto"/>
                <w:sz w:val="21"/>
                <w:szCs w:val="21"/>
                <w:highlight w:val="none"/>
              </w:rPr>
              <w:t>及其计算方法</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76C48BCB">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招标控制价（最高投标限价）：</w:t>
            </w:r>
            <w:r>
              <w:rPr>
                <w:rFonts w:hint="eastAsia" w:ascii="宋体" w:hAnsi="宋体" w:eastAsia="宋体"/>
                <w:color w:val="auto"/>
                <w:sz w:val="21"/>
                <w:szCs w:val="21"/>
                <w:highlight w:val="none"/>
                <w:lang w:val="en-US" w:eastAsia="zh-CN"/>
              </w:rPr>
              <w:t>979500.00</w:t>
            </w:r>
            <w:r>
              <w:rPr>
                <w:rFonts w:hint="default" w:ascii="宋体" w:hAnsi="宋体" w:eastAsia="宋体"/>
                <w:color w:val="auto"/>
                <w:sz w:val="21"/>
                <w:szCs w:val="21"/>
                <w:highlight w:val="none"/>
                <w:lang w:val="en-US" w:eastAsia="zh-CN"/>
              </w:rPr>
              <w:t>元。</w:t>
            </w:r>
          </w:p>
          <w:p w14:paraId="14034A70">
            <w:pPr>
              <w:keepNext w:val="0"/>
              <w:keepLines w:val="0"/>
              <w:kinsoku/>
              <w:autoSpaceDE/>
              <w:autoSpaceDN/>
              <w:adjustRightInd/>
              <w:snapToGrid/>
              <w:spacing w:afterLines="0" w:line="312" w:lineRule="auto"/>
              <w:textAlignment w:val="auto"/>
              <w:rPr>
                <w:rFonts w:hint="default"/>
                <w:color w:val="auto"/>
                <w:highlight w:val="none"/>
                <w:lang w:val="en-US" w:eastAsia="zh-CN"/>
              </w:rPr>
            </w:pPr>
            <w:r>
              <w:rPr>
                <w:rFonts w:hint="eastAsia" w:ascii="宋体" w:hAnsi="宋体" w:eastAsia="宋体"/>
                <w:color w:val="auto"/>
                <w:sz w:val="21"/>
                <w:szCs w:val="21"/>
                <w:highlight w:val="none"/>
                <w:lang w:val="en-US" w:eastAsia="zh-CN"/>
              </w:rPr>
              <w:t>监测招标控制价为：979500.00（元）</w:t>
            </w:r>
          </w:p>
        </w:tc>
      </w:tr>
      <w:tr w14:paraId="058760FB">
        <w:tblPrEx>
          <w:tblCellMar>
            <w:top w:w="0" w:type="dxa"/>
            <w:left w:w="108" w:type="dxa"/>
            <w:bottom w:w="0" w:type="dxa"/>
            <w:right w:w="108" w:type="dxa"/>
          </w:tblCellMar>
        </w:tblPrEx>
        <w:trPr>
          <w:trHeight w:val="708"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DF2318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3.2.5</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62A56F73">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风险控制价（适用于综合评估法和评标定标分离法）</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6D1B60AA">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eastAsia="宋体"/>
                <w:color w:val="auto"/>
                <w:szCs w:val="21"/>
                <w:highlight w:val="none"/>
                <w:lang w:eastAsia="zh-CN"/>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不</w:t>
            </w:r>
            <w:r>
              <w:rPr>
                <w:rFonts w:hint="eastAsia" w:ascii="宋体" w:hAnsi="宋体"/>
                <w:color w:val="auto"/>
                <w:sz w:val="21"/>
                <w:szCs w:val="21"/>
                <w:highlight w:val="none"/>
                <w:lang w:val="en-US" w:eastAsia="zh-CN"/>
              </w:rPr>
              <w:t>设置</w:t>
            </w:r>
          </w:p>
          <w:p w14:paraId="6DE5A92F">
            <w:pPr>
              <w:pStyle w:val="16"/>
              <w:keepNext w:val="0"/>
              <w:keepLines w:val="0"/>
              <w:pageBreakBefore w:val="0"/>
              <w:kinsoku/>
              <w:wordWrap/>
              <w:overflowPunct/>
              <w:topLinePunct w:val="0"/>
              <w:autoSpaceDE/>
              <w:autoSpaceDN/>
              <w:bidi w:val="0"/>
              <w:adjustRightInd/>
              <w:snapToGrid/>
              <w:spacing w:after="0" w:afterLines="0" w:line="312" w:lineRule="auto"/>
              <w:ind w:right="0" w:firstLine="0" w:firstLineChars="0"/>
              <w:textAlignment w:val="auto"/>
              <w:rPr>
                <w:rFonts w:hint="eastAsia" w:ascii="宋体" w:hAnsi="宋体" w:eastAsia="宋体" w:cs="仿宋_GB2312"/>
                <w:color w:val="auto"/>
                <w:sz w:val="21"/>
                <w:szCs w:val="21"/>
                <w:highlight w:val="none"/>
                <w:u w:val="none"/>
                <w:lang w:eastAsia="zh-CN"/>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lang w:val="en-US" w:eastAsia="zh-CN"/>
              </w:rPr>
              <w:t>设置，风险控制价为：</w:t>
            </w:r>
            <w:r>
              <w:rPr>
                <w:rFonts w:hint="eastAsia" w:ascii="宋体" w:hAnsi="宋体" w:cs="仿宋_GB2312"/>
                <w:color w:val="auto"/>
                <w:sz w:val="21"/>
                <w:szCs w:val="21"/>
                <w:highlight w:val="none"/>
                <w:u w:val="none"/>
                <w:lang w:val="en-US" w:eastAsia="zh-CN"/>
              </w:rPr>
              <w:t>元</w:t>
            </w:r>
            <w:r>
              <w:rPr>
                <w:rFonts w:hint="eastAsia" w:ascii="宋体" w:hAnsi="宋体" w:cs="仿宋_GB2312"/>
                <w:color w:val="auto"/>
                <w:sz w:val="21"/>
                <w:szCs w:val="21"/>
                <w:highlight w:val="none"/>
                <w:u w:val="none"/>
              </w:rPr>
              <w:t xml:space="preserve"> </w:t>
            </w:r>
            <w:r>
              <w:rPr>
                <w:rFonts w:hint="eastAsia" w:ascii="宋体" w:hAnsi="宋体" w:eastAsia="宋体" w:cs="仿宋_GB2312"/>
                <w:color w:val="auto"/>
                <w:sz w:val="21"/>
                <w:szCs w:val="21"/>
                <w:highlight w:val="none"/>
                <w:u w:val="none"/>
                <w:lang w:eastAsia="zh-CN"/>
              </w:rPr>
              <w:t>；</w:t>
            </w:r>
          </w:p>
          <w:p w14:paraId="160567AC">
            <w:pPr>
              <w:pStyle w:val="16"/>
              <w:keepNext w:val="0"/>
              <w:keepLines w:val="0"/>
              <w:pageBreakBefore w:val="0"/>
              <w:kinsoku/>
              <w:wordWrap/>
              <w:overflowPunct/>
              <w:topLinePunct w:val="0"/>
              <w:autoSpaceDE/>
              <w:autoSpaceDN/>
              <w:bidi w:val="0"/>
              <w:adjustRightInd/>
              <w:snapToGrid/>
              <w:spacing w:after="0" w:afterLines="0" w:line="312" w:lineRule="auto"/>
              <w:ind w:right="0" w:firstLine="0" w:firstLineChars="0"/>
              <w:textAlignment w:val="auto"/>
              <w:rPr>
                <w:rFonts w:hint="eastAsia" w:ascii="宋体" w:hAnsi="宋体"/>
                <w:color w:val="auto"/>
                <w:szCs w:val="21"/>
                <w:highlight w:val="none"/>
              </w:rPr>
            </w:pPr>
            <w:r>
              <w:rPr>
                <w:rFonts w:hint="eastAsia" w:ascii="宋体" w:hAnsi="宋体"/>
                <w:color w:val="auto"/>
                <w:szCs w:val="21"/>
                <w:highlight w:val="none"/>
              </w:rPr>
              <w:t>注：1.风险控制价在招标控制价的基础上下调</w:t>
            </w:r>
            <w:r>
              <w:rPr>
                <w:rFonts w:hint="eastAsia" w:ascii="宋体" w:hAnsi="宋体"/>
                <w:color w:val="auto"/>
                <w:szCs w:val="21"/>
                <w:highlight w:val="none"/>
                <w:lang w:val="en-US" w:eastAsia="zh-CN"/>
              </w:rPr>
              <w:t>15</w:t>
            </w:r>
            <w:r>
              <w:rPr>
                <w:rFonts w:hint="eastAsia" w:ascii="宋体" w:hAnsi="宋体"/>
                <w:color w:val="auto"/>
                <w:szCs w:val="21"/>
                <w:highlight w:val="none"/>
              </w:rPr>
              <w:t>%～</w:t>
            </w:r>
            <w:r>
              <w:rPr>
                <w:rFonts w:hint="eastAsia" w:ascii="宋体" w:hAnsi="宋体"/>
                <w:color w:val="auto"/>
                <w:szCs w:val="21"/>
                <w:highlight w:val="none"/>
                <w:lang w:val="en-US" w:eastAsia="zh-CN"/>
              </w:rPr>
              <w:t>20</w:t>
            </w:r>
            <w:r>
              <w:rPr>
                <w:rFonts w:hint="eastAsia" w:ascii="宋体" w:hAnsi="宋体"/>
                <w:color w:val="auto"/>
                <w:szCs w:val="21"/>
                <w:highlight w:val="none"/>
              </w:rPr>
              <w:t>%，当中标价低于风险控制价时，中标人应当在合同签订前提供现金转账、保函等形式的低价风险担保；中标人未按要求提交低价风险担保的，视为放弃中标。低价风险担保金额＝风险控制价</w:t>
            </w:r>
            <w:r>
              <w:rPr>
                <w:rFonts w:hint="eastAsia" w:ascii="宋体" w:hAnsi="宋体"/>
                <w:color w:val="auto"/>
                <w:szCs w:val="21"/>
                <w:highlight w:val="none"/>
                <w:lang w:eastAsia="zh-CN"/>
              </w:rPr>
              <w:t>－</w:t>
            </w:r>
            <w:r>
              <w:rPr>
                <w:rFonts w:hint="eastAsia" w:ascii="宋体" w:hAnsi="宋体"/>
                <w:color w:val="auto"/>
                <w:szCs w:val="21"/>
                <w:highlight w:val="none"/>
              </w:rPr>
              <w:t>中标价。</w:t>
            </w:r>
          </w:p>
          <w:p w14:paraId="58B3B6EA">
            <w:pPr>
              <w:pStyle w:val="16"/>
              <w:keepNext w:val="0"/>
              <w:keepLines w:val="0"/>
              <w:pageBreakBefore w:val="0"/>
              <w:kinsoku/>
              <w:wordWrap/>
              <w:overflowPunct/>
              <w:topLinePunct w:val="0"/>
              <w:autoSpaceDE/>
              <w:autoSpaceDN/>
              <w:bidi w:val="0"/>
              <w:adjustRightInd/>
              <w:snapToGrid/>
              <w:spacing w:after="0" w:afterLines="0" w:line="312" w:lineRule="auto"/>
              <w:ind w:right="0" w:firstLine="0" w:firstLineChars="0"/>
              <w:textAlignment w:val="auto"/>
              <w:rPr>
                <w:rFonts w:hint="default" w:ascii="宋体" w:hAnsi="宋体"/>
                <w:b/>
                <w:color w:val="auto"/>
                <w:kern w:val="2"/>
                <w:sz w:val="21"/>
                <w:szCs w:val="21"/>
                <w:highlight w:val="none"/>
                <w:lang w:val="en-US" w:eastAsia="zh-CN" w:bidi="ar-SA"/>
              </w:rPr>
            </w:pPr>
            <w:r>
              <w:rPr>
                <w:rFonts w:hint="eastAsia" w:ascii="宋体" w:hAnsi="宋体"/>
                <w:color w:val="auto"/>
                <w:szCs w:val="21"/>
                <w:highlight w:val="none"/>
              </w:rPr>
              <w:t>2.低价风险担保在项目验收后30日内进行退还。若使用现金转账方式提交低价风险担保的，将一并退回银行同期存款利息（扣除银行手续费）。</w:t>
            </w:r>
          </w:p>
        </w:tc>
      </w:tr>
      <w:tr w14:paraId="7E4202F2">
        <w:tblPrEx>
          <w:tblCellMar>
            <w:top w:w="0" w:type="dxa"/>
            <w:left w:w="108" w:type="dxa"/>
            <w:bottom w:w="0" w:type="dxa"/>
            <w:right w:w="108" w:type="dxa"/>
          </w:tblCellMar>
        </w:tblPrEx>
        <w:trPr>
          <w:trHeight w:val="363"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53873D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 w:val="21"/>
                <w:szCs w:val="21"/>
                <w:highlight w:val="none"/>
              </w:rPr>
              <w:t>3.2.</w:t>
            </w:r>
            <w:r>
              <w:rPr>
                <w:rFonts w:hint="eastAsia" w:ascii="宋体" w:hAnsi="宋体"/>
                <w:color w:val="auto"/>
                <w:sz w:val="21"/>
                <w:szCs w:val="21"/>
                <w:highlight w:val="none"/>
                <w:lang w:val="en-US" w:eastAsia="zh-CN"/>
              </w:rPr>
              <w:t>6</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6043A8B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rPr>
              <w:t>结算方法</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1B7A8A74">
            <w:pPr>
              <w:pStyle w:val="16"/>
              <w:keepNext w:val="0"/>
              <w:keepLines w:val="0"/>
              <w:pageBreakBefore w:val="0"/>
              <w:kinsoku/>
              <w:wordWrap/>
              <w:overflowPunct/>
              <w:topLinePunct w:val="0"/>
              <w:autoSpaceDE/>
              <w:autoSpaceDN/>
              <w:bidi w:val="0"/>
              <w:adjustRightInd/>
              <w:snapToGrid/>
              <w:spacing w:after="0" w:afterLines="0" w:line="312" w:lineRule="auto"/>
              <w:ind w:right="0" w:firstLine="0" w:firstLineChars="0"/>
              <w:jc w:val="both"/>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s="宋体"/>
                <w:b/>
                <w:bCs/>
                <w:color w:val="auto"/>
                <w:sz w:val="21"/>
                <w:szCs w:val="21"/>
                <w:highlight w:val="none"/>
              </w:rPr>
              <w:t>详见合同条款</w:t>
            </w:r>
            <w:r>
              <w:rPr>
                <w:rFonts w:hint="eastAsia" w:ascii="宋体" w:hAnsi="宋体" w:cs="宋体"/>
                <w:color w:val="auto"/>
                <w:sz w:val="21"/>
                <w:szCs w:val="21"/>
                <w:highlight w:val="none"/>
              </w:rPr>
              <w:t>。</w:t>
            </w:r>
          </w:p>
        </w:tc>
      </w:tr>
      <w:tr w14:paraId="75ED2811">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BE45F0F">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lang w:val="en-US" w:eastAsia="zh-CN"/>
              </w:rPr>
              <w:t>3.2.7</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B86957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hint="eastAsia" w:ascii="宋体" w:hAnsi="宋体"/>
                <w:color w:val="auto"/>
                <w:szCs w:val="21"/>
                <w:highlight w:val="none"/>
              </w:rPr>
              <w:t>投标报价的其他要求</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576A78CD">
            <w:pPr>
              <w:pStyle w:val="16"/>
              <w:keepNext w:val="0"/>
              <w:keepLines w:val="0"/>
              <w:pageBreakBefore w:val="0"/>
              <w:kinsoku/>
              <w:wordWrap/>
              <w:overflowPunct/>
              <w:topLinePunct w:val="0"/>
              <w:autoSpaceDE/>
              <w:autoSpaceDN/>
              <w:bidi w:val="0"/>
              <w:adjustRightInd/>
              <w:snapToGrid/>
              <w:spacing w:after="0" w:afterLines="0" w:line="312" w:lineRule="auto"/>
              <w:ind w:right="0" w:firstLine="0" w:firstLineChars="0"/>
              <w:textAlignment w:val="auto"/>
              <w:rPr>
                <w:rFonts w:hint="default" w:ascii="宋体" w:hAnsi="宋体"/>
                <w:b/>
                <w:color w:val="auto"/>
                <w:kern w:val="2"/>
                <w:sz w:val="21"/>
                <w:szCs w:val="21"/>
                <w:highlight w:val="none"/>
                <w:lang w:val="en-US" w:eastAsia="zh-CN" w:bidi="ar-SA"/>
              </w:rPr>
            </w:pPr>
            <w:r>
              <w:rPr>
                <w:rFonts w:hint="eastAsia" w:ascii="宋体" w:hAnsi="宋体"/>
                <w:b/>
                <w:color w:val="auto"/>
                <w:kern w:val="2"/>
                <w:sz w:val="21"/>
                <w:szCs w:val="21"/>
                <w:highlight w:val="none"/>
                <w:lang w:val="en-US" w:eastAsia="zh-CN" w:bidi="ar-SA"/>
              </w:rPr>
              <w:t>/</w:t>
            </w:r>
          </w:p>
        </w:tc>
      </w:tr>
      <w:tr w14:paraId="72A4CFB2">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47A6F58">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ascii="宋体" w:hAnsi="宋体"/>
                <w:color w:val="auto"/>
                <w:sz w:val="21"/>
                <w:szCs w:val="21"/>
                <w:highlight w:val="none"/>
              </w:rPr>
              <w:t>3.</w:t>
            </w:r>
            <w:r>
              <w:rPr>
                <w:rFonts w:hint="eastAsia" w:ascii="宋体" w:hAnsi="宋体"/>
                <w:color w:val="auto"/>
                <w:sz w:val="21"/>
                <w:szCs w:val="21"/>
                <w:highlight w:val="none"/>
              </w:rPr>
              <w:t>4.1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BBE090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ascii="宋体" w:hAnsi="宋体"/>
                <w:color w:val="auto"/>
                <w:sz w:val="21"/>
                <w:szCs w:val="21"/>
                <w:highlight w:val="none"/>
              </w:rPr>
              <w:t>投标有效期</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1F4395C">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kern w:val="2"/>
                <w:sz w:val="21"/>
                <w:szCs w:val="21"/>
                <w:highlight w:val="none"/>
                <w:lang w:val="en-US" w:eastAsia="zh-CN" w:bidi="ar-SA"/>
              </w:rPr>
            </w:pPr>
            <w:r>
              <w:rPr>
                <w:rFonts w:hint="eastAsia" w:ascii="宋体" w:hAnsi="宋体"/>
                <w:color w:val="auto"/>
                <w:sz w:val="21"/>
                <w:szCs w:val="21"/>
                <w:highlight w:val="none"/>
                <w:lang w:val="en-US" w:eastAsia="zh-CN"/>
              </w:rPr>
              <w:t>提交</w:t>
            </w:r>
            <w:r>
              <w:rPr>
                <w:rFonts w:hint="eastAsia" w:ascii="宋体" w:hAnsi="宋体"/>
                <w:color w:val="auto"/>
                <w:sz w:val="21"/>
                <w:szCs w:val="21"/>
                <w:highlight w:val="none"/>
              </w:rPr>
              <w:t>投标文</w:t>
            </w:r>
            <w:r>
              <w:rPr>
                <w:rFonts w:hint="eastAsia" w:ascii="宋体" w:hAnsi="宋体"/>
                <w:color w:val="auto"/>
                <w:sz w:val="21"/>
                <w:szCs w:val="21"/>
                <w:highlight w:val="none"/>
                <w:lang w:val="en-US" w:eastAsia="zh-CN"/>
              </w:rPr>
              <w:t>件</w:t>
            </w:r>
            <w:r>
              <w:rPr>
                <w:rFonts w:hint="eastAsia" w:ascii="宋体" w:hAnsi="宋体"/>
                <w:color w:val="auto"/>
                <w:sz w:val="21"/>
                <w:szCs w:val="21"/>
                <w:highlight w:val="none"/>
              </w:rPr>
              <w:t>截止之日起</w:t>
            </w:r>
            <w:r>
              <w:rPr>
                <w:rFonts w:hint="eastAsia" w:ascii="宋体" w:hAnsi="宋体"/>
                <w:color w:val="auto"/>
                <w:sz w:val="21"/>
                <w:szCs w:val="21"/>
                <w:highlight w:val="none"/>
                <w:u w:val="single"/>
              </w:rPr>
              <w:t xml:space="preserve"> </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u w:val="single"/>
                <w:lang w:val="en-US" w:eastAsia="zh-CN"/>
              </w:rPr>
              <w:t>90</w:t>
            </w:r>
            <w:r>
              <w:rPr>
                <w:rFonts w:hint="eastAsia" w:ascii="宋体" w:hAnsi="宋体" w:cs="宋体"/>
                <w:color w:val="auto"/>
                <w:kern w:val="0"/>
                <w:sz w:val="21"/>
                <w:szCs w:val="21"/>
                <w:highlight w:val="none"/>
                <w:u w:val="single"/>
              </w:rPr>
              <w:t xml:space="preserve"> </w:t>
            </w:r>
            <w:r>
              <w:rPr>
                <w:rFonts w:hint="eastAsia" w:ascii="宋体" w:hAnsi="宋体"/>
                <w:color w:val="auto"/>
                <w:sz w:val="21"/>
                <w:szCs w:val="21"/>
                <w:highlight w:val="none"/>
                <w:lang w:eastAsia="zh-CN"/>
              </w:rPr>
              <w:t>日</w:t>
            </w:r>
            <w:r>
              <w:rPr>
                <w:rFonts w:hint="eastAsia" w:ascii="宋体" w:hAnsi="宋体"/>
                <w:color w:val="auto"/>
                <w:sz w:val="21"/>
                <w:szCs w:val="21"/>
                <w:highlight w:val="none"/>
              </w:rPr>
              <w:t>。</w:t>
            </w:r>
          </w:p>
        </w:tc>
      </w:tr>
      <w:tr w14:paraId="1B04496D">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04983B6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eastAsia="宋体"/>
                <w:color w:val="auto"/>
                <w:sz w:val="21"/>
                <w:szCs w:val="21"/>
                <w:highlight w:val="none"/>
                <w:lang w:val="en-US" w:eastAsia="zh-CN"/>
              </w:rPr>
            </w:pPr>
            <w:r>
              <w:rPr>
                <w:rFonts w:ascii="宋体" w:hAnsi="宋体"/>
                <w:color w:val="auto"/>
                <w:sz w:val="21"/>
                <w:szCs w:val="21"/>
                <w:highlight w:val="none"/>
              </w:rPr>
              <w:t>3.</w:t>
            </w:r>
            <w:r>
              <w:rPr>
                <w:rFonts w:hint="eastAsia" w:ascii="宋体" w:hAnsi="宋体"/>
                <w:color w:val="auto"/>
                <w:sz w:val="21"/>
                <w:szCs w:val="21"/>
                <w:highlight w:val="none"/>
              </w:rPr>
              <w:t>5</w:t>
            </w:r>
            <w:r>
              <w:rPr>
                <w:rFonts w:hint="eastAsia" w:ascii="宋体" w:hAnsi="宋体"/>
                <w:color w:val="auto"/>
                <w:sz w:val="21"/>
                <w:szCs w:val="21"/>
                <w:highlight w:val="none"/>
                <w:lang w:val="en-US" w:eastAsia="zh-CN"/>
              </w:rPr>
              <w:t>.1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0383532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ascii="宋体" w:hAnsi="宋体"/>
                <w:color w:val="auto"/>
                <w:sz w:val="21"/>
                <w:szCs w:val="21"/>
                <w:highlight w:val="none"/>
              </w:rPr>
              <w:t>投标</w:t>
            </w:r>
            <w:r>
              <w:rPr>
                <w:rFonts w:hint="eastAsia" w:ascii="宋体" w:hAnsi="宋体"/>
                <w:color w:val="auto"/>
                <w:sz w:val="21"/>
                <w:szCs w:val="21"/>
                <w:highlight w:val="none"/>
                <w:lang w:eastAsia="zh-CN"/>
              </w:rPr>
              <w:t>保证金</w:t>
            </w:r>
          </w:p>
        </w:tc>
        <w:tc>
          <w:tcPr>
            <w:tcW w:w="7393" w:type="dxa"/>
            <w:tcBorders>
              <w:top w:val="single" w:color="auto" w:sz="4" w:space="0"/>
              <w:left w:val="single" w:color="auto" w:sz="4" w:space="0"/>
              <w:bottom w:val="single" w:color="auto" w:sz="4" w:space="0"/>
              <w:right w:val="single" w:color="auto" w:sz="4" w:space="0"/>
            </w:tcBorders>
            <w:noWrap w:val="0"/>
            <w:vAlign w:val="top"/>
          </w:tcPr>
          <w:p w14:paraId="0EFDEDEA">
            <w:pPr>
              <w:keepNext w:val="0"/>
              <w:keepLines w:val="0"/>
              <w:pageBreakBefore w:val="0"/>
              <w:numPr>
                <w:ilvl w:val="0"/>
                <w:numId w:val="0"/>
              </w:numPr>
              <w:kinsoku/>
              <w:wordWrap/>
              <w:overflowPunct/>
              <w:topLinePunct w:val="0"/>
              <w:autoSpaceDE/>
              <w:autoSpaceDN/>
              <w:bidi w:val="0"/>
              <w:adjustRightInd/>
              <w:snapToGrid/>
              <w:spacing w:afterLines="0" w:line="312" w:lineRule="auto"/>
              <w:ind w:right="0"/>
              <w:textAlignment w:val="auto"/>
              <w:rPr>
                <w:rFonts w:hint="default" w:ascii="宋体" w:hAnsi="宋体" w:eastAsia="宋体" w:cs="Times New Roman"/>
                <w:b/>
                <w:bCs/>
                <w:color w:val="auto"/>
                <w:kern w:val="2"/>
                <w:sz w:val="21"/>
                <w:szCs w:val="21"/>
                <w:highlight w:val="none"/>
                <w:lang w:val="en-US" w:eastAsia="zh-CN" w:bidi="ar-SA"/>
              </w:rPr>
            </w:pPr>
            <w:r>
              <w:rPr>
                <w:rFonts w:hint="eastAsia" w:ascii="宋体" w:hAnsi="宋体" w:eastAsia="宋体"/>
                <w:b/>
                <w:color w:val="auto"/>
                <w:sz w:val="21"/>
                <w:szCs w:val="21"/>
                <w:highlight w:val="none"/>
                <w:lang w:val="en-US" w:eastAsia="zh-CN"/>
              </w:rPr>
              <w:t>本项目不要求缴纳投标保证金，本招标文件内关于投标保证金的描述均不适用。</w:t>
            </w:r>
          </w:p>
        </w:tc>
      </w:tr>
      <w:tr w14:paraId="16EE925D">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74C29D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color w:val="auto"/>
                <w:sz w:val="21"/>
                <w:szCs w:val="21"/>
                <w:highlight w:val="none"/>
                <w:lang w:val="en-US"/>
              </w:rPr>
            </w:pPr>
            <w:r>
              <w:rPr>
                <w:rFonts w:ascii="宋体" w:hAnsi="宋体"/>
                <w:color w:val="auto"/>
                <w:sz w:val="21"/>
                <w:szCs w:val="21"/>
                <w:highlight w:val="none"/>
              </w:rPr>
              <w:t>3.</w:t>
            </w:r>
            <w:r>
              <w:rPr>
                <w:rFonts w:hint="eastAsia" w:ascii="宋体" w:hAnsi="宋体"/>
                <w:color w:val="auto"/>
                <w:sz w:val="21"/>
                <w:szCs w:val="21"/>
                <w:highlight w:val="none"/>
              </w:rPr>
              <w:t>5</w:t>
            </w:r>
            <w:r>
              <w:rPr>
                <w:rFonts w:hint="eastAsia" w:ascii="宋体" w:hAnsi="宋体"/>
                <w:color w:val="auto"/>
                <w:sz w:val="21"/>
                <w:szCs w:val="21"/>
                <w:highlight w:val="none"/>
                <w:lang w:val="en-US" w:eastAsia="zh-CN"/>
              </w:rPr>
              <w:t>.2</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0555297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rPr>
              <w:t>纸质投标保函（保单）的退回方式</w:t>
            </w:r>
          </w:p>
        </w:tc>
        <w:tc>
          <w:tcPr>
            <w:tcW w:w="7393" w:type="dxa"/>
            <w:tcBorders>
              <w:top w:val="single" w:color="auto" w:sz="4" w:space="0"/>
              <w:left w:val="single" w:color="auto" w:sz="4" w:space="0"/>
              <w:bottom w:val="single" w:color="auto" w:sz="4" w:space="0"/>
              <w:right w:val="single" w:color="auto" w:sz="4" w:space="0"/>
            </w:tcBorders>
            <w:noWrap w:val="0"/>
            <w:vAlign w:val="top"/>
          </w:tcPr>
          <w:p w14:paraId="1E8491A5">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邮寄，寄回投标保函（保单）上载明的投标人地址。</w:t>
            </w:r>
          </w:p>
          <w:p w14:paraId="425487DA">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color w:val="auto"/>
                <w:sz w:val="21"/>
                <w:szCs w:val="21"/>
                <w:highlight w:val="none"/>
                <w:u w:val="single"/>
              </w:rPr>
            </w:pPr>
            <w:r>
              <w:rPr>
                <w:rFonts w:hint="eastAsia" w:ascii="宋体" w:hAnsi="宋体"/>
                <w:color w:val="auto"/>
                <w:sz w:val="21"/>
                <w:szCs w:val="21"/>
                <w:highlight w:val="none"/>
                <w:bdr w:val="single" w:color="auto" w:sz="4" w:space="0"/>
              </w:rPr>
              <w:t xml:space="preserve"> </w:t>
            </w:r>
            <w:r>
              <w:rPr>
                <w:rFonts w:hint="eastAsia" w:ascii="宋体" w:hAnsi="宋体"/>
                <w:color w:val="auto"/>
                <w:sz w:val="21"/>
                <w:szCs w:val="21"/>
                <w:highlight w:val="none"/>
                <w:bdr w:val="single" w:color="auto" w:sz="0" w:space="0"/>
              </w:rPr>
              <w:t xml:space="preserve"> </w:t>
            </w:r>
            <w:r>
              <w:rPr>
                <w:rFonts w:hint="eastAsia" w:ascii="宋体" w:hAnsi="宋体"/>
                <w:color w:val="auto"/>
                <w:sz w:val="21"/>
                <w:szCs w:val="21"/>
                <w:highlight w:val="none"/>
              </w:rPr>
              <w:t>自取，自取地址：</w:t>
            </w:r>
            <w:r>
              <w:rPr>
                <w:rFonts w:hint="eastAsia" w:ascii="宋体" w:hAnsi="宋体" w:eastAsia="宋体"/>
                <w:b/>
                <w:color w:val="auto"/>
                <w:sz w:val="21"/>
                <w:szCs w:val="21"/>
                <w:highlight w:val="none"/>
                <w:u w:val="single"/>
                <w:lang w:val="en-US" w:eastAsia="zh-CN"/>
              </w:rPr>
              <w:t xml:space="preserve">                          </w:t>
            </w:r>
            <w:r>
              <w:rPr>
                <w:rFonts w:hint="eastAsia" w:ascii="宋体" w:hAnsi="宋体"/>
                <w:b/>
                <w:color w:val="auto"/>
                <w:sz w:val="21"/>
                <w:szCs w:val="21"/>
                <w:highlight w:val="none"/>
                <w:u w:val="single"/>
              </w:rPr>
              <w:t xml:space="preserve">  </w:t>
            </w:r>
          </w:p>
          <w:p w14:paraId="6FEA92E3">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color w:val="auto"/>
                <w:sz w:val="21"/>
                <w:szCs w:val="21"/>
                <w:highlight w:val="none"/>
                <w:u w:val="single"/>
              </w:rPr>
            </w:pPr>
            <w:r>
              <w:rPr>
                <w:rFonts w:hint="eastAsia" w:ascii="宋体" w:hAnsi="宋体"/>
                <w:color w:val="auto"/>
                <w:sz w:val="21"/>
                <w:szCs w:val="21"/>
                <w:highlight w:val="none"/>
                <w:bdr w:val="single" w:color="auto" w:sz="4" w:space="0"/>
              </w:rPr>
              <w:t xml:space="preserve"> </w:t>
            </w:r>
            <w:r>
              <w:rPr>
                <w:rFonts w:hint="eastAsia" w:ascii="宋体" w:hAnsi="宋体"/>
                <w:color w:val="auto"/>
                <w:sz w:val="21"/>
                <w:szCs w:val="21"/>
                <w:highlight w:val="none"/>
                <w:bdr w:val="single" w:color="auto" w:sz="0" w:space="0"/>
              </w:rPr>
              <w:t xml:space="preserve"> </w:t>
            </w:r>
            <w:r>
              <w:rPr>
                <w:rFonts w:hint="eastAsia" w:ascii="宋体" w:hAnsi="宋体"/>
                <w:color w:val="auto"/>
                <w:sz w:val="21"/>
                <w:szCs w:val="21"/>
                <w:highlight w:val="none"/>
              </w:rPr>
              <w:t xml:space="preserve"> 其他</w:t>
            </w:r>
            <w:r>
              <w:rPr>
                <w:rFonts w:hint="eastAsia" w:ascii="宋体" w:hAnsi="宋体"/>
                <w:color w:val="auto"/>
                <w:sz w:val="21"/>
                <w:szCs w:val="21"/>
                <w:highlight w:val="none"/>
                <w:bdr w:val="single" w:color="auto" w:sz="4" w:space="0"/>
              </w:rPr>
              <w:t xml:space="preserve"> </w:t>
            </w:r>
            <w:r>
              <w:rPr>
                <w:rFonts w:hint="eastAsia" w:ascii="宋体" w:hAnsi="宋体"/>
                <w:b/>
                <w:color w:val="auto"/>
                <w:sz w:val="21"/>
                <w:szCs w:val="21"/>
                <w:highlight w:val="none"/>
                <w:u w:val="single"/>
              </w:rPr>
              <w:t xml:space="preserve">                                                </w:t>
            </w:r>
          </w:p>
          <w:p w14:paraId="171C64FF">
            <w:pPr>
              <w:keepNext w:val="0"/>
              <w:keepLines w:val="0"/>
              <w:pageBreakBefore w:val="0"/>
              <w:widowControl w:val="0"/>
              <w:numPr>
                <w:ilvl w:val="0"/>
                <w:numId w:val="0"/>
              </w:numPr>
              <w:kinsoku/>
              <w:wordWrap/>
              <w:overflowPunct/>
              <w:topLinePunct w:val="0"/>
              <w:autoSpaceDE/>
              <w:autoSpaceDN/>
              <w:bidi w:val="0"/>
              <w:adjustRightInd/>
              <w:snapToGrid/>
              <w:spacing w:line="312" w:lineRule="auto"/>
              <w:ind w:right="0"/>
              <w:textAlignment w:val="auto"/>
              <w:rPr>
                <w:rFonts w:hint="eastAsia" w:ascii="宋体" w:hAnsi="宋体" w:eastAsia="宋体" w:cs="Times New Roman"/>
                <w:b/>
                <w:bCs/>
                <w:color w:val="auto"/>
                <w:kern w:val="2"/>
                <w:sz w:val="21"/>
                <w:szCs w:val="21"/>
                <w:highlight w:val="none"/>
                <w:lang w:val="en-US" w:eastAsia="zh-CN" w:bidi="ar-SA"/>
              </w:rPr>
            </w:pPr>
            <w:r>
              <w:rPr>
                <w:rFonts w:ascii="宋体" w:hAnsi="宋体"/>
                <w:b/>
                <w:bCs/>
                <w:color w:val="auto"/>
                <w:sz w:val="21"/>
                <w:szCs w:val="21"/>
                <w:highlight w:val="none"/>
              </w:rPr>
              <w:t>注：招标人</w:t>
            </w:r>
            <w:r>
              <w:rPr>
                <w:rFonts w:hint="eastAsia" w:ascii="宋体" w:hAnsi="宋体"/>
                <w:b/>
                <w:bCs/>
                <w:color w:val="auto"/>
                <w:sz w:val="21"/>
                <w:szCs w:val="21"/>
                <w:highlight w:val="none"/>
              </w:rPr>
              <w:t>可</w:t>
            </w:r>
            <w:r>
              <w:rPr>
                <w:rFonts w:ascii="宋体" w:hAnsi="宋体"/>
                <w:b/>
                <w:bCs/>
                <w:color w:val="auto"/>
                <w:sz w:val="21"/>
                <w:szCs w:val="21"/>
                <w:highlight w:val="none"/>
              </w:rPr>
              <w:t>自行选择一种或多种</w:t>
            </w:r>
            <w:r>
              <w:rPr>
                <w:rFonts w:hint="eastAsia" w:ascii="宋体" w:hAnsi="宋体"/>
                <w:b/>
                <w:bCs/>
                <w:color w:val="auto"/>
                <w:sz w:val="21"/>
                <w:szCs w:val="21"/>
                <w:highlight w:val="none"/>
              </w:rPr>
              <w:t>纸质投标保函（保单）的</w:t>
            </w:r>
            <w:r>
              <w:rPr>
                <w:rFonts w:ascii="宋体" w:hAnsi="宋体"/>
                <w:b/>
                <w:bCs/>
                <w:color w:val="auto"/>
                <w:sz w:val="21"/>
                <w:szCs w:val="21"/>
                <w:highlight w:val="none"/>
              </w:rPr>
              <w:t>退回方式。</w:t>
            </w:r>
          </w:p>
        </w:tc>
      </w:tr>
      <w:tr w14:paraId="6F4C1240">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9A51546">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ascii="宋体" w:hAnsi="宋体"/>
                <w:color w:val="auto"/>
                <w:sz w:val="21"/>
                <w:szCs w:val="21"/>
                <w:highlight w:val="none"/>
              </w:rPr>
              <w:t>3.</w:t>
            </w:r>
            <w:r>
              <w:rPr>
                <w:rFonts w:hint="eastAsia" w:ascii="宋体" w:hAnsi="宋体"/>
                <w:color w:val="auto"/>
                <w:sz w:val="21"/>
                <w:szCs w:val="21"/>
                <w:highlight w:val="none"/>
              </w:rPr>
              <w:t>7</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692498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ascii="宋体" w:hAnsi="宋体"/>
                <w:color w:val="auto"/>
                <w:sz w:val="21"/>
                <w:szCs w:val="21"/>
                <w:highlight w:val="none"/>
              </w:rPr>
              <w:t>是否允许</w:t>
            </w:r>
            <w:r>
              <w:rPr>
                <w:rFonts w:hint="eastAsia" w:ascii="宋体" w:hAnsi="宋体"/>
                <w:color w:val="auto"/>
                <w:sz w:val="21"/>
                <w:szCs w:val="21"/>
                <w:highlight w:val="none"/>
              </w:rPr>
              <w:t>递交备</w:t>
            </w:r>
            <w:r>
              <w:rPr>
                <w:rFonts w:ascii="宋体" w:hAnsi="宋体"/>
                <w:color w:val="auto"/>
                <w:sz w:val="21"/>
                <w:szCs w:val="21"/>
                <w:highlight w:val="none"/>
              </w:rPr>
              <w:t>选投标方案</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444FE623">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不允许</w:t>
            </w:r>
          </w:p>
          <w:p w14:paraId="2BB3BA48">
            <w:pPr>
              <w:keepNext w:val="0"/>
              <w:keepLines w:val="0"/>
              <w:pageBreakBefore w:val="0"/>
              <w:kinsoku/>
              <w:wordWrap/>
              <w:overflowPunct/>
              <w:topLinePunct w:val="0"/>
              <w:autoSpaceDE/>
              <w:autoSpaceDN/>
              <w:bidi w:val="0"/>
              <w:adjustRightInd/>
              <w:snapToGrid/>
              <w:spacing w:afterLines="0" w:line="312" w:lineRule="auto"/>
              <w:ind w:left="1109" w:right="0" w:hanging="970" w:hangingChars="462"/>
              <w:textAlignment w:val="auto"/>
              <w:rPr>
                <w:rFonts w:hint="eastAsia" w:ascii="宋体" w:hAnsi="宋体" w:eastAsia="宋体"/>
                <w:color w:val="auto"/>
                <w:sz w:val="21"/>
                <w:szCs w:val="21"/>
                <w:highlight w:val="none"/>
                <w:lang w:val="en-US" w:eastAsia="zh-CN"/>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允许，备选投标方案的编制要求：</w:t>
            </w:r>
          </w:p>
        </w:tc>
      </w:tr>
      <w:tr w14:paraId="0E8C8EBB">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3A1756B">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eastAsia="zh-CN"/>
              </w:rPr>
            </w:pPr>
            <w:r>
              <w:rPr>
                <w:rFonts w:ascii="宋体" w:hAnsi="宋体"/>
                <w:color w:val="auto"/>
                <w:sz w:val="21"/>
                <w:szCs w:val="21"/>
                <w:highlight w:val="none"/>
              </w:rPr>
              <w:t>3.</w:t>
            </w:r>
            <w:r>
              <w:rPr>
                <w:rFonts w:hint="eastAsia" w:ascii="宋体" w:hAnsi="宋体"/>
                <w:color w:val="auto"/>
                <w:sz w:val="21"/>
                <w:szCs w:val="21"/>
                <w:highlight w:val="none"/>
              </w:rPr>
              <w:t>8</w:t>
            </w:r>
            <w:r>
              <w:rPr>
                <w:rFonts w:ascii="宋体" w:hAnsi="宋体"/>
                <w:color w:val="auto"/>
                <w:sz w:val="21"/>
                <w:szCs w:val="21"/>
                <w:highlight w:val="none"/>
              </w:rPr>
              <w:t>.</w:t>
            </w:r>
            <w:r>
              <w:rPr>
                <w:rFonts w:hint="eastAsia" w:ascii="宋体" w:hAnsi="宋体"/>
                <w:color w:val="auto"/>
                <w:sz w:val="21"/>
                <w:szCs w:val="21"/>
                <w:highlight w:val="none"/>
                <w:lang w:val="en-US" w:eastAsia="zh-CN"/>
              </w:rPr>
              <w:t>3</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26310E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rPr>
              <w:t>投标文件</w:t>
            </w:r>
            <w:r>
              <w:rPr>
                <w:rFonts w:ascii="宋体" w:hAnsi="宋体"/>
                <w:color w:val="auto"/>
                <w:sz w:val="21"/>
                <w:szCs w:val="21"/>
                <w:highlight w:val="none"/>
              </w:rPr>
              <w:t>签字</w:t>
            </w:r>
            <w:r>
              <w:rPr>
                <w:rFonts w:hint="eastAsia" w:ascii="宋体" w:hAnsi="宋体"/>
                <w:color w:val="auto"/>
                <w:sz w:val="21"/>
                <w:szCs w:val="21"/>
                <w:highlight w:val="none"/>
              </w:rPr>
              <w:t>、</w:t>
            </w:r>
            <w:r>
              <w:rPr>
                <w:rFonts w:ascii="宋体" w:hAnsi="宋体"/>
                <w:color w:val="auto"/>
                <w:sz w:val="21"/>
                <w:szCs w:val="21"/>
                <w:highlight w:val="none"/>
              </w:rPr>
              <w:t>盖章要求</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4DAE1708">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1.投标人应按要求由投标人法定代表人</w:t>
            </w:r>
            <w:r>
              <w:rPr>
                <w:rFonts w:hint="eastAsia" w:ascii="宋体" w:hAnsi="宋体" w:eastAsia="宋体"/>
                <w:b w:val="0"/>
                <w:bCs/>
                <w:color w:val="auto"/>
                <w:sz w:val="21"/>
                <w:szCs w:val="21"/>
                <w:highlight w:val="none"/>
                <w:lang w:val="en-US" w:eastAsia="zh-CN"/>
              </w:rPr>
              <w:t>/负责人</w:t>
            </w:r>
            <w:r>
              <w:rPr>
                <w:rFonts w:hint="eastAsia" w:ascii="宋体" w:hAnsi="宋体" w:eastAsia="宋体"/>
                <w:b w:val="0"/>
                <w:bCs/>
                <w:color w:val="auto"/>
                <w:sz w:val="21"/>
                <w:szCs w:val="21"/>
                <w:highlight w:val="none"/>
                <w:lang w:eastAsia="zh-CN"/>
              </w:rPr>
              <w:t>或其委托代理人签字（章）并加盖投标人单位公章 。</w:t>
            </w:r>
          </w:p>
          <w:p w14:paraId="6B4383AE">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2.投标文件装订成册后须加盖投标人公章。</w:t>
            </w:r>
          </w:p>
          <w:p w14:paraId="30A62245">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b/>
                <w:color w:val="auto"/>
                <w:sz w:val="21"/>
                <w:szCs w:val="21"/>
                <w:highlight w:val="none"/>
                <w:lang w:eastAsia="zh-CN"/>
              </w:rPr>
            </w:pPr>
            <w:r>
              <w:rPr>
                <w:rFonts w:hint="eastAsia" w:ascii="宋体" w:hAnsi="宋体" w:eastAsia="宋体"/>
                <w:b w:val="0"/>
                <w:bCs/>
                <w:color w:val="auto"/>
                <w:sz w:val="21"/>
                <w:szCs w:val="21"/>
                <w:highlight w:val="none"/>
                <w:lang w:eastAsia="zh-CN"/>
              </w:rPr>
              <w:t>3</w:t>
            </w:r>
            <w:r>
              <w:rPr>
                <w:rFonts w:hint="eastAsia" w:ascii="宋体" w:hAnsi="宋体" w:eastAsia="宋体"/>
                <w:b w:val="0"/>
                <w:bCs/>
                <w:color w:val="auto"/>
                <w:sz w:val="21"/>
                <w:szCs w:val="21"/>
                <w:highlight w:val="none"/>
                <w:lang w:val="en-US" w:eastAsia="zh-CN"/>
              </w:rPr>
              <w:t>.</w:t>
            </w:r>
            <w:r>
              <w:rPr>
                <w:rFonts w:hint="eastAsia" w:ascii="宋体" w:hAnsi="宋体" w:eastAsia="宋体"/>
                <w:b w:val="0"/>
                <w:bCs/>
                <w:color w:val="auto"/>
                <w:sz w:val="21"/>
                <w:szCs w:val="21"/>
                <w:highlight w:val="none"/>
                <w:lang w:eastAsia="zh-CN"/>
              </w:rPr>
              <w:t>招标文件中未明确要求签字（章）、盖章的，投标文件中无需签字（章）、盖章。</w:t>
            </w:r>
          </w:p>
        </w:tc>
      </w:tr>
      <w:tr w14:paraId="255B7065">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D2EFC0B">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3.8.4</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542684C7">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投标文件份数</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4A0461D3">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投标文件份数：</w:t>
            </w:r>
            <w:r>
              <w:rPr>
                <w:rFonts w:hint="eastAsia" w:ascii="宋体" w:hAnsi="宋体" w:eastAsia="宋体" w:cs="宋体"/>
                <w:color w:val="auto"/>
                <w:sz w:val="21"/>
                <w:szCs w:val="21"/>
                <w:highlight w:val="none"/>
              </w:rPr>
              <w:t>资信标（含资格审查资料）：正本一份，副本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w:t>
            </w:r>
          </w:p>
          <w:p w14:paraId="75E98747">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经济标：正本一份，副本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rPr>
              <w:t>份；</w:t>
            </w:r>
          </w:p>
          <w:p w14:paraId="44D6D78F">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技术标明标：正本一份，副本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w:t>
            </w:r>
          </w:p>
          <w:p w14:paraId="3FC7A198">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技术标暗标：正本一份，副本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w:t>
            </w:r>
            <w:r>
              <w:rPr>
                <w:rFonts w:hint="eastAsia" w:ascii="宋体" w:hAnsi="宋体" w:eastAsia="宋体" w:cs="宋体"/>
                <w:color w:val="auto"/>
                <w:sz w:val="21"/>
                <w:szCs w:val="21"/>
                <w:highlight w:val="none"/>
                <w:lang w:val="en-US" w:eastAsia="zh-CN"/>
              </w:rPr>
              <w:t>本项目无</w:t>
            </w:r>
            <w:r>
              <w:rPr>
                <w:rFonts w:hint="eastAsia" w:ascii="宋体" w:hAnsi="宋体" w:eastAsia="宋体" w:cs="宋体"/>
                <w:color w:val="auto"/>
                <w:sz w:val="21"/>
                <w:szCs w:val="21"/>
                <w:highlight w:val="none"/>
              </w:rPr>
              <w:t>技术标暗标）；</w:t>
            </w:r>
          </w:p>
          <w:p w14:paraId="0A6E463F">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投标文件电子版：</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份。</w:t>
            </w:r>
          </w:p>
          <w:p w14:paraId="4B21511E">
            <w:pPr>
              <w:keepNext w:val="0"/>
              <w:keepLines w:val="0"/>
              <w:pageBreakBefore w:val="0"/>
              <w:widowControl w:val="0"/>
              <w:kinsoku/>
              <w:wordWrap/>
              <w:overflowPunct/>
              <w:topLinePunct w:val="0"/>
              <w:autoSpaceDE/>
              <w:autoSpaceDN/>
              <w:bidi w:val="0"/>
              <w:adjustRightInd/>
              <w:snapToGrid/>
              <w:spacing w:line="312" w:lineRule="auto"/>
              <w:ind w:left="29" w:leftChars="14" w:right="0" w:firstLine="0" w:firstLineChars="0"/>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注：副本可以是正本签字（章）盖章后的复印件，但必须清晰可辨；当副本或投标文件电子版与正本不一致时以正本为准。投标文件电子版应包含所有投标文件的内容。</w:t>
            </w:r>
          </w:p>
        </w:tc>
      </w:tr>
      <w:tr w14:paraId="5D4AF99E">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65598F9">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kern w:val="2"/>
                <w:sz w:val="21"/>
                <w:szCs w:val="21"/>
                <w:highlight w:val="none"/>
                <w:lang w:val="en-US" w:eastAsia="zh-CN" w:bidi="ar-SA"/>
              </w:rPr>
            </w:pPr>
            <w:r>
              <w:rPr>
                <w:rFonts w:ascii="宋体" w:hAnsi="宋体"/>
                <w:color w:val="auto"/>
                <w:sz w:val="21"/>
                <w:szCs w:val="21"/>
                <w:highlight w:val="none"/>
              </w:rPr>
              <w:t>3.</w:t>
            </w:r>
            <w:r>
              <w:rPr>
                <w:rFonts w:hint="eastAsia" w:ascii="宋体" w:hAnsi="宋体"/>
                <w:color w:val="auto"/>
                <w:sz w:val="21"/>
                <w:szCs w:val="21"/>
                <w:highlight w:val="none"/>
              </w:rPr>
              <w:t>8</w:t>
            </w:r>
            <w:r>
              <w:rPr>
                <w:rFonts w:ascii="宋体" w:hAnsi="宋体"/>
                <w:color w:val="auto"/>
                <w:sz w:val="21"/>
                <w:szCs w:val="21"/>
                <w:highlight w:val="none"/>
              </w:rPr>
              <w:t>.5</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CED3028">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s="宋体"/>
                <w:color w:val="auto"/>
                <w:kern w:val="2"/>
                <w:sz w:val="21"/>
                <w:szCs w:val="21"/>
                <w:highlight w:val="none"/>
                <w:lang w:val="en-US" w:eastAsia="zh-CN" w:bidi="ar-SA"/>
              </w:rPr>
            </w:pPr>
            <w:r>
              <w:rPr>
                <w:rFonts w:ascii="宋体" w:hAnsi="宋体"/>
                <w:color w:val="auto"/>
                <w:sz w:val="21"/>
                <w:szCs w:val="21"/>
                <w:highlight w:val="none"/>
              </w:rPr>
              <w:t>装订要求</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5A0FAA30">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按照投标人须知第3.1.1项规定的投标文件组成内容，投标文件应按以下要求装订：</w:t>
            </w:r>
          </w:p>
          <w:p w14:paraId="6BFCBDDD">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1.分册装订，共分</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2</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册，分别为：</w:t>
            </w:r>
          </w:p>
          <w:p w14:paraId="756C1075">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经济标：1册；</w:t>
            </w:r>
          </w:p>
          <w:p w14:paraId="1F3AC9D0">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资信标（含资格审查资料）：1册；</w:t>
            </w:r>
          </w:p>
          <w:p w14:paraId="6DF7DE42">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rPr>
              <w:t>2.采用</w:t>
            </w:r>
            <w:r>
              <w:rPr>
                <w:rFonts w:hint="eastAsia" w:ascii="宋体" w:hAnsi="宋体"/>
                <w:color w:val="auto"/>
                <w:sz w:val="21"/>
                <w:szCs w:val="21"/>
                <w:highlight w:val="none"/>
                <w:u w:val="single"/>
              </w:rPr>
              <w:t xml:space="preserve"> 书式胶装 </w:t>
            </w:r>
            <w:r>
              <w:rPr>
                <w:rFonts w:hint="eastAsia" w:ascii="宋体" w:hAnsi="宋体"/>
                <w:color w:val="auto"/>
                <w:sz w:val="21"/>
                <w:szCs w:val="21"/>
                <w:highlight w:val="none"/>
              </w:rPr>
              <w:t>方式装订，装订应牢固、不易拆散和换页，不得采用活页装订。如投标文件过厚可分册装订，但必须标明分册顺序。</w:t>
            </w:r>
          </w:p>
        </w:tc>
      </w:tr>
      <w:tr w14:paraId="639E7366">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15979174">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 w:val="21"/>
                <w:szCs w:val="21"/>
                <w:highlight w:val="none"/>
              </w:rPr>
              <w:t>4.</w:t>
            </w:r>
            <w:r>
              <w:rPr>
                <w:rFonts w:hint="eastAsia" w:ascii="宋体" w:hAnsi="宋体"/>
                <w:color w:val="auto"/>
                <w:sz w:val="21"/>
                <w:szCs w:val="21"/>
                <w:highlight w:val="none"/>
                <w:lang w:val="en-US" w:eastAsia="zh-CN"/>
              </w:rPr>
              <w:t>1.2</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8DA5610">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 w:val="21"/>
                <w:szCs w:val="21"/>
                <w:highlight w:val="none"/>
              </w:rPr>
              <w:t>投标文件、纸质投标保函（或保单）的密封</w:t>
            </w:r>
            <w:r>
              <w:rPr>
                <w:rFonts w:hint="eastAsia" w:ascii="宋体" w:hAnsi="宋体"/>
                <w:color w:val="auto"/>
                <w:sz w:val="21"/>
                <w:szCs w:val="21"/>
                <w:highlight w:val="none"/>
                <w:lang w:eastAsia="zh-CN"/>
              </w:rPr>
              <w:t>、标记、</w:t>
            </w:r>
            <w:r>
              <w:rPr>
                <w:rFonts w:hint="eastAsia" w:ascii="宋体" w:hAnsi="宋体"/>
                <w:color w:val="auto"/>
                <w:sz w:val="21"/>
                <w:szCs w:val="21"/>
                <w:highlight w:val="none"/>
                <w:lang w:val="en-US" w:eastAsia="zh-CN"/>
              </w:rPr>
              <w:t>提交、核验</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3047AB05">
            <w:pPr>
              <w:keepNext w:val="0"/>
              <w:keepLines w:val="0"/>
              <w:pageBreakBefore w:val="0"/>
              <w:widowControl w:val="0"/>
              <w:kinsoku/>
              <w:wordWrap/>
              <w:overflowPunct/>
              <w:topLinePunct w:val="0"/>
              <w:autoSpaceDE/>
              <w:autoSpaceDN/>
              <w:bidi w:val="0"/>
              <w:adjustRightInd/>
              <w:snapToGrid/>
              <w:spacing w:line="312" w:lineRule="auto"/>
              <w:ind w:left="0" w:leftChars="0"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1.投标人在</w:t>
            </w:r>
            <w:r>
              <w:rPr>
                <w:rFonts w:ascii="宋体" w:hAnsi="宋体"/>
                <w:color w:val="auto"/>
                <w:sz w:val="21"/>
                <w:szCs w:val="21"/>
                <w:highlight w:val="none"/>
              </w:rPr>
              <w:t>投标截止时间之前</w:t>
            </w:r>
            <w:r>
              <w:rPr>
                <w:rFonts w:hint="eastAsia" w:ascii="宋体" w:hAnsi="宋体"/>
                <w:color w:val="auto"/>
                <w:sz w:val="21"/>
                <w:szCs w:val="21"/>
                <w:highlight w:val="none"/>
              </w:rPr>
              <w:t>递交的投标文件共</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3</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包（如有纸质投标保函（或保单）则为</w:t>
            </w:r>
            <w:r>
              <w:rPr>
                <w:rFonts w:hint="eastAsia" w:ascii="宋体" w:hAnsi="宋体" w:eastAsia="宋体"/>
                <w:color w:val="auto"/>
                <w:sz w:val="21"/>
                <w:szCs w:val="21"/>
                <w:highlight w:val="none"/>
                <w:lang w:val="en-US" w:eastAsia="zh-CN"/>
              </w:rPr>
              <w:t>4</w:t>
            </w:r>
            <w:r>
              <w:rPr>
                <w:rFonts w:hint="eastAsia" w:ascii="宋体" w:hAnsi="宋体"/>
                <w:color w:val="auto"/>
                <w:sz w:val="21"/>
                <w:szCs w:val="21"/>
                <w:highlight w:val="none"/>
              </w:rPr>
              <w:t>包），其密封和标记、提交要求如下：</w:t>
            </w:r>
          </w:p>
          <w:p w14:paraId="1146A75A">
            <w:pPr>
              <w:keepNext w:val="0"/>
              <w:keepLines w:val="0"/>
              <w:pageBreakBefore w:val="0"/>
              <w:widowControl w:val="0"/>
              <w:kinsoku/>
              <w:wordWrap/>
              <w:overflowPunct/>
              <w:topLinePunct w:val="0"/>
              <w:autoSpaceDE/>
              <w:autoSpaceDN/>
              <w:bidi w:val="0"/>
              <w:adjustRightInd/>
              <w:snapToGrid/>
              <w:spacing w:line="312" w:lineRule="auto"/>
              <w:ind w:left="360"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经济标的正本与副本封面应注明“正本”、“副本”字样，使用一个密封封套进行包装，并在封套上注明“经济标”字样；在封套的封口处加贴封条并加盖投标人单位公章。</w:t>
            </w:r>
          </w:p>
          <w:p w14:paraId="281BE6C6">
            <w:pPr>
              <w:keepNext w:val="0"/>
              <w:keepLines w:val="0"/>
              <w:pageBreakBefore w:val="0"/>
              <w:widowControl w:val="0"/>
              <w:kinsoku/>
              <w:wordWrap/>
              <w:overflowPunct/>
              <w:topLinePunct w:val="0"/>
              <w:autoSpaceDE/>
              <w:autoSpaceDN/>
              <w:bidi w:val="0"/>
              <w:adjustRightInd/>
              <w:snapToGrid/>
              <w:spacing w:line="312" w:lineRule="auto"/>
              <w:ind w:left="360"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资信标（含资格审查资料）的正本与副本封面应注明“正本”、“副本”字样，使用一个密封封套进行包装，并在封套上注 明“资信标（含资格审查资料）”字样；在封套的封口处加贴封条并加盖投标人单位公章。</w:t>
            </w:r>
          </w:p>
          <w:p w14:paraId="50D05853">
            <w:pPr>
              <w:keepNext w:val="0"/>
              <w:keepLines w:val="0"/>
              <w:pageBreakBefore w:val="0"/>
              <w:widowControl w:val="0"/>
              <w:kinsoku/>
              <w:wordWrap/>
              <w:overflowPunct/>
              <w:topLinePunct w:val="0"/>
              <w:autoSpaceDE/>
              <w:autoSpaceDN/>
              <w:bidi w:val="0"/>
              <w:adjustRightInd/>
              <w:snapToGrid/>
              <w:spacing w:line="312" w:lineRule="auto"/>
              <w:ind w:left="360" w:right="0" w:firstLine="0" w:firstLineChars="0"/>
              <w:textAlignment w:val="auto"/>
              <w:rPr>
                <w:rFonts w:hint="eastAsia" w:ascii="宋体" w:hAnsi="宋体" w:eastAsia="宋体" w:cs="Times New Roman"/>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投标文件电子版（以U盘为载体）使用一个密封封套进行包装，并在封套上注明“投标文件电子版”字样；在封套的封口处</w:t>
            </w:r>
            <w:r>
              <w:rPr>
                <w:rFonts w:hint="eastAsia" w:ascii="宋体" w:hAnsi="宋体" w:eastAsia="宋体" w:cs="Times New Roman"/>
                <w:color w:val="auto"/>
                <w:sz w:val="21"/>
                <w:szCs w:val="21"/>
                <w:highlight w:val="none"/>
              </w:rPr>
              <w:t>加贴封条并加盖投标人（联合体牵头人）单位公章。</w:t>
            </w:r>
          </w:p>
          <w:p w14:paraId="510062B5">
            <w:pPr>
              <w:keepNext w:val="0"/>
              <w:keepLines w:val="0"/>
              <w:pageBreakBefore w:val="0"/>
              <w:widowControl w:val="0"/>
              <w:kinsoku/>
              <w:wordWrap/>
              <w:overflowPunct/>
              <w:topLinePunct w:val="0"/>
              <w:autoSpaceDE/>
              <w:autoSpaceDN/>
              <w:bidi w:val="0"/>
              <w:adjustRightInd/>
              <w:snapToGrid/>
              <w:spacing w:line="312" w:lineRule="auto"/>
              <w:ind w:left="360"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w:t>
            </w:r>
            <w:r>
              <w:rPr>
                <w:rFonts w:hint="eastAsia" w:ascii="宋体" w:hAnsi="宋体" w:eastAsia="宋体" w:cs="Times New Roman"/>
                <w:color w:val="auto"/>
                <w:sz w:val="21"/>
                <w:szCs w:val="21"/>
                <w:highlight w:val="none"/>
              </w:rPr>
              <w:t>【</w:t>
            </w:r>
            <w:r>
              <w:rPr>
                <w:rFonts w:hint="eastAsia" w:ascii="宋体" w:hAnsi="宋体" w:eastAsia="宋体" w:cs="Times New Roman"/>
                <w:b/>
                <w:bCs/>
                <w:color w:val="auto"/>
                <w:sz w:val="21"/>
                <w:szCs w:val="21"/>
                <w:highlight w:val="none"/>
              </w:rPr>
              <w:t>投标</w:t>
            </w:r>
            <w:r>
              <w:rPr>
                <w:rFonts w:hint="eastAsia" w:ascii="宋体" w:hAnsi="宋体"/>
                <w:b/>
                <w:bCs/>
                <w:color w:val="auto"/>
                <w:sz w:val="21"/>
                <w:szCs w:val="21"/>
                <w:highlight w:val="none"/>
              </w:rPr>
              <w:t>保证金为纸质投标保函（或保单）时适用</w:t>
            </w:r>
            <w:r>
              <w:rPr>
                <w:rFonts w:hint="eastAsia" w:ascii="宋体" w:hAnsi="宋体"/>
                <w:color w:val="auto"/>
                <w:sz w:val="21"/>
                <w:szCs w:val="21"/>
                <w:highlight w:val="none"/>
              </w:rPr>
              <w:t>】纸质投标保函（或保单）原件应使用一个密封封套进行包装，并单独递交给招标人，封套上须注明“纸质投标保函（或保单）原件”字样，载明工程名称、招标人名称、招标人地址、投标人名称和投标人地址，封套的封口处加贴封条并加盖投标人单位公章，招标人应在开标会上开启投纸质投标保函原件密封封套。</w:t>
            </w:r>
          </w:p>
          <w:p w14:paraId="78B1AED5">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bCs/>
                <w:color w:val="auto"/>
                <w:sz w:val="21"/>
                <w:szCs w:val="21"/>
                <w:highlight w:val="none"/>
              </w:rPr>
            </w:pPr>
            <w:r>
              <w:rPr>
                <w:rFonts w:hint="eastAsia" w:ascii="宋体" w:hAnsi="宋体"/>
                <w:b/>
                <w:bCs/>
                <w:color w:val="auto"/>
                <w:sz w:val="21"/>
                <w:szCs w:val="21"/>
                <w:highlight w:val="none"/>
              </w:rPr>
              <w:t>投标文件未按上述规定进行密封及标记的，招标人不予受理。对因错放或密封不牢靠而造成的提前开封的投标文件或投标保函（或保单）将予以拒绝，并退还给投标人，招标人及招标代理机构不承担相关责任。</w:t>
            </w:r>
          </w:p>
          <w:p w14:paraId="5CA5D3DE">
            <w:pPr>
              <w:pStyle w:val="8"/>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ascii="宋体" w:hAnsi="宋体"/>
                <w:color w:val="auto"/>
                <w:sz w:val="21"/>
                <w:szCs w:val="21"/>
                <w:highlight w:val="none"/>
              </w:rPr>
            </w:pPr>
            <w:r>
              <w:rPr>
                <w:rFonts w:hint="eastAsia" w:ascii="宋体" w:hAnsi="宋体"/>
                <w:color w:val="auto"/>
                <w:sz w:val="21"/>
                <w:szCs w:val="21"/>
                <w:highlight w:val="none"/>
              </w:rPr>
              <w:t>2.纸质投标保函（或保单）的核验要求如下：</w:t>
            </w:r>
          </w:p>
          <w:p w14:paraId="404A77B3">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rPr>
              <w:t>招标人取得纸质投标保函（或保单）原件后，应对纸质投标保函（或保单）是否采用市政务服务数据管理部门规定的格式，以及纸质投标保函（或保单）载明的投标人、投标项目、保函金额、保证有效期等内容进行形式核验。对符合招标文件要求的，视为提交投标保证金有效；对不符合招标文件要求的，视为未按规定提交投标保证金，招标人应在保存纸质投标保函（或保单）原件的复印件或影印件后予以退回，并记录退回原因</w:t>
            </w:r>
            <w:r>
              <w:rPr>
                <w:rFonts w:hint="eastAsia" w:ascii="宋体" w:hAnsi="宋体"/>
                <w:b w:val="0"/>
                <w:bCs w:val="0"/>
                <w:color w:val="auto"/>
                <w:sz w:val="21"/>
                <w:szCs w:val="21"/>
                <w:highlight w:val="none"/>
              </w:rPr>
              <w:t>。</w:t>
            </w:r>
          </w:p>
        </w:tc>
      </w:tr>
      <w:tr w14:paraId="70075974">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DC7A2B5">
            <w:pPr>
              <w:keepNext w:val="0"/>
              <w:keepLines w:val="0"/>
              <w:pageBreakBefore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4.</w:t>
            </w:r>
            <w:r>
              <w:rPr>
                <w:rFonts w:hint="eastAsia" w:ascii="宋体" w:hAnsi="宋体"/>
                <w:color w:val="auto"/>
                <w:sz w:val="21"/>
                <w:szCs w:val="21"/>
                <w:highlight w:val="none"/>
                <w:lang w:val="en-US" w:eastAsia="zh-CN"/>
              </w:rPr>
              <w:t>1.3</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57E0C436">
            <w:pPr>
              <w:keepNext w:val="0"/>
              <w:keepLines w:val="0"/>
              <w:pageBreakBefore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封套上应载明</w:t>
            </w:r>
          </w:p>
          <w:p w14:paraId="1B67334A">
            <w:pPr>
              <w:keepNext w:val="0"/>
              <w:keepLines w:val="0"/>
              <w:pageBreakBefore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的信息</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79477842">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ascii="宋体" w:hAnsi="宋体"/>
                <w:color w:val="auto"/>
                <w:sz w:val="21"/>
                <w:szCs w:val="21"/>
                <w:highlight w:val="none"/>
              </w:rPr>
            </w:pPr>
            <w:r>
              <w:rPr>
                <w:rFonts w:ascii="宋体" w:hAnsi="宋体"/>
                <w:color w:val="auto"/>
                <w:sz w:val="21"/>
                <w:szCs w:val="21"/>
                <w:highlight w:val="none"/>
              </w:rPr>
              <w:t>招标人地址：</w:t>
            </w:r>
          </w:p>
          <w:p w14:paraId="6943BCF5">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ascii="宋体" w:hAnsi="宋体"/>
                <w:color w:val="auto"/>
                <w:sz w:val="21"/>
                <w:szCs w:val="21"/>
                <w:highlight w:val="none"/>
              </w:rPr>
            </w:pPr>
            <w:r>
              <w:rPr>
                <w:rFonts w:ascii="宋体" w:hAnsi="宋体"/>
                <w:color w:val="auto"/>
                <w:sz w:val="21"/>
                <w:szCs w:val="21"/>
                <w:highlight w:val="none"/>
              </w:rPr>
              <w:t>招标人名称：</w:t>
            </w:r>
          </w:p>
          <w:p w14:paraId="67B87C0C">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s="宋体"/>
                <w:color w:val="auto"/>
                <w:kern w:val="0"/>
                <w:sz w:val="21"/>
                <w:szCs w:val="21"/>
                <w:highlight w:val="none"/>
                <w:u w:val="single"/>
              </w:rPr>
            </w:pPr>
            <w:r>
              <w:rPr>
                <w:rFonts w:hint="eastAsia" w:ascii="宋体" w:hAnsi="宋体" w:cs="宋体"/>
                <w:color w:val="auto"/>
                <w:kern w:val="0"/>
                <w:sz w:val="21"/>
                <w:szCs w:val="21"/>
                <w:highlight w:val="none"/>
              </w:rPr>
              <w:t>（招标项目名称）</w:t>
            </w:r>
            <w:r>
              <w:rPr>
                <w:rFonts w:hint="eastAsia" w:ascii="宋体" w:hAnsi="宋体" w:cs="宋体"/>
                <w:color w:val="auto"/>
                <w:kern w:val="0"/>
                <w:sz w:val="21"/>
                <w:szCs w:val="21"/>
                <w:highlight w:val="none"/>
                <w:u w:val="single"/>
              </w:rPr>
              <w:t>经济标或资信标（含资格审查资料）或投标文件电子版或 纸质投标保函</w:t>
            </w:r>
            <w:r>
              <w:rPr>
                <w:rFonts w:hint="eastAsia" w:ascii="宋体" w:hAnsi="宋体" w:cs="宋体"/>
                <w:color w:val="auto"/>
                <w:kern w:val="0"/>
                <w:sz w:val="21"/>
                <w:szCs w:val="21"/>
                <w:highlight w:val="none"/>
                <w:u w:val="single"/>
                <w:lang w:eastAsia="zh-CN"/>
              </w:rPr>
              <w:t>（</w:t>
            </w:r>
            <w:r>
              <w:rPr>
                <w:rFonts w:hint="eastAsia" w:ascii="宋体" w:hAnsi="宋体" w:cs="宋体"/>
                <w:color w:val="auto"/>
                <w:kern w:val="0"/>
                <w:sz w:val="21"/>
                <w:szCs w:val="21"/>
                <w:highlight w:val="none"/>
                <w:u w:val="single"/>
                <w:lang w:val="en-US" w:eastAsia="zh-CN"/>
              </w:rPr>
              <w:t>或保单</w:t>
            </w:r>
            <w:r>
              <w:rPr>
                <w:rFonts w:hint="eastAsia" w:ascii="宋体" w:hAnsi="宋体" w:cs="宋体"/>
                <w:color w:val="auto"/>
                <w:kern w:val="0"/>
                <w:sz w:val="21"/>
                <w:szCs w:val="21"/>
                <w:highlight w:val="none"/>
                <w:u w:val="single"/>
                <w:lang w:eastAsia="zh-CN"/>
              </w:rPr>
              <w:t>）</w:t>
            </w:r>
            <w:r>
              <w:rPr>
                <w:rFonts w:hint="eastAsia" w:ascii="宋体" w:hAnsi="宋体" w:cs="宋体"/>
                <w:color w:val="auto"/>
                <w:kern w:val="0"/>
                <w:sz w:val="21"/>
                <w:szCs w:val="21"/>
                <w:highlight w:val="none"/>
                <w:u w:val="single"/>
              </w:rPr>
              <w:t>原件</w:t>
            </w:r>
          </w:p>
          <w:p w14:paraId="5EEC7DDE">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ascii="宋体" w:hAnsi="宋体"/>
                <w:color w:val="auto"/>
                <w:sz w:val="21"/>
                <w:szCs w:val="21"/>
                <w:highlight w:val="none"/>
              </w:rPr>
              <w:t>在</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ascii="宋体" w:hAnsi="宋体"/>
                <w:color w:val="auto"/>
                <w:sz w:val="21"/>
                <w:szCs w:val="21"/>
                <w:highlight w:val="none"/>
                <w:u w:val="single"/>
              </w:rPr>
              <w:t xml:space="preserve">  </w:t>
            </w:r>
            <w:r>
              <w:rPr>
                <w:rFonts w:ascii="宋体" w:hAnsi="宋体"/>
                <w:color w:val="auto"/>
                <w:sz w:val="21"/>
                <w:szCs w:val="21"/>
                <w:highlight w:val="none"/>
              </w:rPr>
              <w:t>月</w:t>
            </w:r>
            <w:r>
              <w:rPr>
                <w:rFonts w:ascii="宋体" w:hAnsi="宋体"/>
                <w:color w:val="auto"/>
                <w:sz w:val="21"/>
                <w:szCs w:val="21"/>
                <w:highlight w:val="none"/>
                <w:u w:val="single"/>
              </w:rPr>
              <w:t xml:space="preserve">  </w:t>
            </w:r>
            <w:r>
              <w:rPr>
                <w:rFonts w:ascii="宋体" w:hAnsi="宋体"/>
                <w:color w:val="auto"/>
                <w:sz w:val="21"/>
                <w:szCs w:val="21"/>
                <w:highlight w:val="none"/>
              </w:rPr>
              <w:t>日</w:t>
            </w:r>
            <w:r>
              <w:rPr>
                <w:rFonts w:ascii="宋体" w:hAnsi="宋体"/>
                <w:color w:val="auto"/>
                <w:sz w:val="21"/>
                <w:szCs w:val="21"/>
                <w:highlight w:val="none"/>
                <w:u w:val="single"/>
              </w:rPr>
              <w:t xml:space="preserve">  </w:t>
            </w:r>
            <w:r>
              <w:rPr>
                <w:rFonts w:ascii="宋体" w:hAnsi="宋体"/>
                <w:color w:val="auto"/>
                <w:sz w:val="21"/>
                <w:szCs w:val="21"/>
                <w:highlight w:val="none"/>
              </w:rPr>
              <w:t>时</w:t>
            </w:r>
            <w:r>
              <w:rPr>
                <w:rFonts w:ascii="宋体" w:hAnsi="宋体"/>
                <w:color w:val="auto"/>
                <w:sz w:val="21"/>
                <w:szCs w:val="21"/>
                <w:highlight w:val="none"/>
                <w:u w:val="single"/>
              </w:rPr>
              <w:t xml:space="preserve">  </w:t>
            </w:r>
            <w:r>
              <w:rPr>
                <w:rFonts w:hint="eastAsia" w:ascii="宋体" w:hAnsi="宋体"/>
                <w:color w:val="auto"/>
                <w:sz w:val="21"/>
                <w:szCs w:val="21"/>
                <w:highlight w:val="none"/>
              </w:rPr>
              <w:t>分（开标时间）</w:t>
            </w:r>
            <w:r>
              <w:rPr>
                <w:rFonts w:ascii="宋体" w:hAnsi="宋体"/>
                <w:color w:val="auto"/>
                <w:sz w:val="21"/>
                <w:szCs w:val="21"/>
                <w:highlight w:val="none"/>
              </w:rPr>
              <w:t>前不得开启</w:t>
            </w:r>
          </w:p>
          <w:p w14:paraId="644A5B7C">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投标人名称：            投标人地址：</w:t>
            </w:r>
          </w:p>
        </w:tc>
      </w:tr>
      <w:tr w14:paraId="57F0A2FA">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EDBE088">
            <w:pPr>
              <w:keepNext w:val="0"/>
              <w:keepLines w:val="0"/>
              <w:pageBreakBefore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5.1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64ED692">
            <w:pPr>
              <w:keepNext w:val="0"/>
              <w:keepLines w:val="0"/>
              <w:pageBreakBefore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投标人出席开标会的人员要求和身份证明文件要求</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E06410C">
            <w:pPr>
              <w:keepNext w:val="0"/>
              <w:keepLines w:val="0"/>
              <w:pageBreakBefore w:val="0"/>
              <w:widowControl/>
              <w:kinsoku/>
              <w:wordWrap/>
              <w:overflowPunct/>
              <w:topLinePunct w:val="0"/>
              <w:autoSpaceDE/>
              <w:autoSpaceDN/>
              <w:bidi w:val="0"/>
              <w:adjustRightInd/>
              <w:snapToGrid/>
              <w:spacing w:line="312" w:lineRule="auto"/>
              <w:ind w:right="0" w:firstLine="0" w:firstLineChars="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w:t>
            </w:r>
            <w:r>
              <w:rPr>
                <w:rFonts w:hint="eastAsia" w:ascii="宋体" w:hAnsi="宋体" w:cs="仿宋_GB2312"/>
                <w:color w:val="auto"/>
                <w:kern w:val="0"/>
                <w:sz w:val="21"/>
                <w:szCs w:val="21"/>
                <w:highlight w:val="none"/>
              </w:rPr>
              <w:t>参加开标会的</w:t>
            </w:r>
            <w:r>
              <w:rPr>
                <w:rFonts w:hint="eastAsia" w:ascii="宋体" w:hAnsi="宋体" w:cs="宋体"/>
                <w:color w:val="auto"/>
                <w:sz w:val="21"/>
                <w:szCs w:val="21"/>
                <w:highlight w:val="none"/>
              </w:rPr>
              <w:t>法定代表人</w:t>
            </w:r>
            <w:r>
              <w:rPr>
                <w:rFonts w:hint="eastAsia" w:ascii="宋体" w:hAnsi="宋体" w:cs="宋体"/>
                <w:color w:val="auto"/>
                <w:sz w:val="21"/>
                <w:szCs w:val="21"/>
                <w:highlight w:val="none"/>
                <w:lang w:val="en-US" w:eastAsia="zh-CN"/>
              </w:rPr>
              <w:t>/负责人</w:t>
            </w:r>
            <w:r>
              <w:rPr>
                <w:rFonts w:hint="eastAsia" w:ascii="宋体" w:hAnsi="宋体" w:cs="宋体"/>
                <w:color w:val="auto"/>
                <w:sz w:val="21"/>
                <w:szCs w:val="21"/>
                <w:highlight w:val="none"/>
              </w:rPr>
              <w:t>或授权代理人应在投标截止时间前到场，并带齐个人</w:t>
            </w:r>
            <w:r>
              <w:rPr>
                <w:rFonts w:hint="eastAsia"/>
                <w:color w:val="auto"/>
                <w:sz w:val="21"/>
                <w:szCs w:val="21"/>
                <w:highlight w:val="none"/>
              </w:rPr>
              <w:t>身份证原件当场提交与核验（所有个人身份证原件于开标会现场查验后当场退还）。</w:t>
            </w:r>
          </w:p>
          <w:p w14:paraId="1CAC289E">
            <w:pPr>
              <w:keepNext w:val="0"/>
              <w:keepLines w:val="0"/>
              <w:pageBreakBefore w:val="0"/>
              <w:widowControl/>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s="宋体"/>
                <w:color w:val="auto"/>
                <w:kern w:val="0"/>
                <w:sz w:val="21"/>
                <w:szCs w:val="21"/>
                <w:highlight w:val="none"/>
              </w:rPr>
              <w:t>2.</w:t>
            </w:r>
            <w:r>
              <w:rPr>
                <w:rFonts w:hint="eastAsia" w:ascii="宋体" w:hAnsi="宋体" w:cs="宋体"/>
                <w:color w:val="auto"/>
                <w:sz w:val="21"/>
                <w:szCs w:val="21"/>
                <w:highlight w:val="none"/>
              </w:rPr>
              <w:t>参加开标会人员的身份证明文件要求：本人身份证原件。</w:t>
            </w:r>
          </w:p>
          <w:p w14:paraId="7340ECC3">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s="宋体"/>
                <w:color w:val="auto"/>
                <w:kern w:val="0"/>
                <w:sz w:val="21"/>
                <w:szCs w:val="21"/>
                <w:highlight w:val="none"/>
              </w:rPr>
              <w:t>3.投标人的</w:t>
            </w:r>
            <w:r>
              <w:rPr>
                <w:rFonts w:hint="eastAsia" w:ascii="宋体" w:hAnsi="宋体" w:cs="宋体"/>
                <w:color w:val="auto"/>
                <w:sz w:val="21"/>
                <w:szCs w:val="21"/>
                <w:highlight w:val="none"/>
              </w:rPr>
              <w:t>法定代表人</w:t>
            </w:r>
            <w:r>
              <w:rPr>
                <w:rFonts w:hint="eastAsia" w:ascii="宋体" w:hAnsi="宋体" w:cs="宋体"/>
                <w:color w:val="auto"/>
                <w:sz w:val="21"/>
                <w:szCs w:val="21"/>
                <w:highlight w:val="none"/>
                <w:lang w:val="en-US" w:eastAsia="zh-CN"/>
              </w:rPr>
              <w:t>/负责人</w:t>
            </w:r>
            <w:r>
              <w:rPr>
                <w:rFonts w:hint="eastAsia" w:ascii="宋体" w:hAnsi="宋体" w:cs="宋体"/>
                <w:color w:val="auto"/>
                <w:sz w:val="21"/>
                <w:szCs w:val="21"/>
                <w:highlight w:val="none"/>
              </w:rPr>
              <w:t>或授权代理人</w:t>
            </w:r>
            <w:r>
              <w:rPr>
                <w:rFonts w:hint="eastAsia" w:ascii="宋体" w:hAnsi="宋体" w:cs="宋体"/>
                <w:color w:val="auto"/>
                <w:kern w:val="0"/>
                <w:sz w:val="21"/>
                <w:szCs w:val="21"/>
                <w:highlight w:val="none"/>
              </w:rPr>
              <w:t>未全程参加开标会的，视为该投标人默认开标结果。</w:t>
            </w:r>
          </w:p>
        </w:tc>
      </w:tr>
      <w:tr w14:paraId="1AA643CB">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639DD0A">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ascii="宋体" w:hAnsi="宋体"/>
                <w:color w:val="auto"/>
                <w:sz w:val="21"/>
                <w:szCs w:val="21"/>
                <w:highlight w:val="none"/>
              </w:rPr>
              <w:t>6.1.1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064C4873">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rPr>
              <w:t>评标委员会的组建</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7CFD48A8">
            <w:pPr>
              <w:pStyle w:val="33"/>
              <w:keepNext w:val="0"/>
              <w:keepLines w:val="0"/>
              <w:pageBreakBefore w:val="0"/>
              <w:widowControl w:val="0"/>
              <w:kinsoku/>
              <w:wordWrap/>
              <w:overflowPunct/>
              <w:topLinePunct w:val="0"/>
              <w:autoSpaceDE/>
              <w:autoSpaceDN/>
              <w:bidi w:val="0"/>
              <w:adjustRightInd/>
              <w:snapToGrid/>
              <w:spacing w:line="312" w:lineRule="auto"/>
              <w:ind w:left="0" w:right="0" w:firstLine="0" w:firstLineChars="0"/>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1.</w:t>
            </w:r>
            <w:r>
              <w:rPr>
                <w:rFonts w:ascii="宋体" w:hAnsi="宋体"/>
                <w:color w:val="auto"/>
                <w:sz w:val="21"/>
                <w:szCs w:val="21"/>
                <w:highlight w:val="none"/>
              </w:rPr>
              <w:t>评标委员会</w:t>
            </w:r>
            <w:r>
              <w:rPr>
                <w:rFonts w:hint="eastAsia" w:ascii="宋体" w:hAnsi="宋体"/>
                <w:color w:val="auto"/>
                <w:sz w:val="21"/>
                <w:szCs w:val="21"/>
                <w:highlight w:val="none"/>
              </w:rPr>
              <w:t>构成：共</w:t>
            </w:r>
            <w:r>
              <w:rPr>
                <w:rFonts w:hint="eastAsia" w:ascii="宋体" w:hAnsi="宋体"/>
                <w:color w:val="auto"/>
                <w:sz w:val="21"/>
                <w:szCs w:val="21"/>
                <w:highlight w:val="none"/>
                <w:u w:val="single"/>
              </w:rPr>
              <w:t xml:space="preserve"> 5 </w:t>
            </w:r>
            <w:r>
              <w:rPr>
                <w:rFonts w:hint="eastAsia" w:ascii="宋体" w:hAnsi="宋体"/>
                <w:color w:val="auto"/>
                <w:sz w:val="21"/>
                <w:szCs w:val="21"/>
                <w:highlight w:val="none"/>
              </w:rPr>
              <w:t>人，其中评标专家</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4</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人，招标人代表</w:t>
            </w:r>
            <w:r>
              <w:rPr>
                <w:rFonts w:hint="eastAsia" w:ascii="宋体" w:hAnsi="宋体"/>
                <w:color w:val="auto"/>
                <w:sz w:val="21"/>
                <w:szCs w:val="21"/>
                <w:highlight w:val="none"/>
                <w:u w:val="single"/>
                <w:lang w:val="en-US" w:eastAsia="zh-CN"/>
              </w:rPr>
              <w:t>1</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人</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招标人依法组建。</w:t>
            </w:r>
          </w:p>
          <w:p w14:paraId="2337BFC1">
            <w:pPr>
              <w:pStyle w:val="33"/>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color w:val="auto"/>
                <w:sz w:val="21"/>
                <w:szCs w:val="21"/>
                <w:highlight w:val="none"/>
              </w:rPr>
              <w:t>2.评标专家确定方式：由招标人于开标前</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个工作日内在</w:t>
            </w:r>
            <w:r>
              <w:rPr>
                <w:rFonts w:hint="eastAsia" w:ascii="宋体" w:hAnsi="宋体"/>
                <w:color w:val="auto"/>
                <w:sz w:val="21"/>
                <w:szCs w:val="21"/>
                <w:highlight w:val="none"/>
                <w:u w:val="single"/>
              </w:rPr>
              <w:t>（广东省综合评标评审专家库）</w:t>
            </w:r>
            <w:r>
              <w:rPr>
                <w:rFonts w:hint="eastAsia" w:ascii="宋体" w:hAnsi="宋体"/>
                <w:color w:val="auto"/>
                <w:sz w:val="21"/>
                <w:szCs w:val="21"/>
                <w:highlight w:val="none"/>
              </w:rPr>
              <w:t>中随机抽取产生（同一单位不得有</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名或以上专家同时参加同一项目的评标），若所要求类别的专家人数选取不足，则从相近专业类别中抽取。</w:t>
            </w:r>
          </w:p>
        </w:tc>
      </w:tr>
      <w:tr w14:paraId="1703EF20">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0012506E">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6.3</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4B53D0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评标办法</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4D032DF">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bCs/>
                <w:color w:val="auto"/>
                <w:sz w:val="21"/>
                <w:szCs w:val="21"/>
                <w:highlight w:val="none"/>
                <w:lang w:val="en-US" w:eastAsia="zh-CN"/>
              </w:rPr>
            </w:pPr>
            <w:r>
              <w:rPr>
                <w:rFonts w:hint="eastAsia" w:ascii="宋体" w:hAnsi="宋体"/>
                <w:color w:val="auto"/>
                <w:kern w:val="2"/>
                <w:sz w:val="21"/>
                <w:szCs w:val="21"/>
                <w:highlight w:val="none"/>
                <w:lang w:eastAsia="zh-CN"/>
              </w:rPr>
              <w:t>□</w:t>
            </w:r>
            <w:r>
              <w:rPr>
                <w:rFonts w:hint="eastAsia" w:ascii="宋体" w:hAnsi="宋体"/>
                <w:bCs/>
                <w:color w:val="auto"/>
                <w:sz w:val="21"/>
                <w:szCs w:val="21"/>
                <w:highlight w:val="none"/>
                <w:lang w:val="en-US" w:eastAsia="zh-CN"/>
              </w:rPr>
              <w:t>综合评估法</w:t>
            </w:r>
          </w:p>
          <w:p w14:paraId="01022A76">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bCs/>
                <w:color w:val="auto"/>
                <w:sz w:val="21"/>
                <w:szCs w:val="21"/>
                <w:highlight w:val="none"/>
                <w:lang w:val="en-US" w:eastAsia="zh-CN"/>
              </w:rPr>
            </w:pPr>
            <w:r>
              <w:rPr>
                <w:rFonts w:hint="eastAsia" w:ascii="宋体" w:hAnsi="宋体"/>
                <w:color w:val="auto"/>
                <w:kern w:val="2"/>
                <w:sz w:val="21"/>
                <w:szCs w:val="21"/>
                <w:highlight w:val="none"/>
                <w:lang w:eastAsia="zh-CN"/>
              </w:rPr>
              <w:t>□</w:t>
            </w:r>
            <w:r>
              <w:rPr>
                <w:rFonts w:hint="eastAsia" w:ascii="宋体" w:hAnsi="宋体"/>
                <w:bCs/>
                <w:color w:val="auto"/>
                <w:sz w:val="21"/>
                <w:szCs w:val="21"/>
                <w:highlight w:val="none"/>
                <w:lang w:val="en-US" w:eastAsia="zh-CN"/>
              </w:rPr>
              <w:t>评标定标分离法</w:t>
            </w:r>
          </w:p>
          <w:p w14:paraId="0ECFE66D">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bCs/>
                <w:color w:val="auto"/>
                <w:sz w:val="21"/>
                <w:szCs w:val="21"/>
                <w:highlight w:val="none"/>
                <w:lang w:val="en-US" w:eastAsia="zh-CN"/>
              </w:rPr>
            </w:pPr>
            <w:r>
              <w:rPr>
                <w:rFonts w:hint="default" w:ascii="宋体" w:hAnsi="宋体"/>
                <w:bCs/>
                <w:color w:val="auto"/>
                <w:sz w:val="21"/>
                <w:szCs w:val="21"/>
                <w:highlight w:val="none"/>
                <w:lang w:val="en-US" w:eastAsia="zh-CN"/>
              </w:rPr>
              <w:sym w:font="Wingdings 2" w:char="0052"/>
            </w:r>
            <w:r>
              <w:rPr>
                <w:rFonts w:hint="eastAsia" w:ascii="宋体" w:hAnsi="宋体"/>
                <w:bCs/>
                <w:color w:val="auto"/>
                <w:sz w:val="21"/>
                <w:szCs w:val="21"/>
                <w:highlight w:val="none"/>
                <w:lang w:val="en-US" w:eastAsia="zh-CN"/>
              </w:rPr>
              <w:t>简易评标法</w:t>
            </w:r>
          </w:p>
        </w:tc>
      </w:tr>
      <w:tr w14:paraId="17482FA1">
        <w:tblPrEx>
          <w:tblCellMar>
            <w:top w:w="0" w:type="dxa"/>
            <w:left w:w="108" w:type="dxa"/>
            <w:bottom w:w="0" w:type="dxa"/>
            <w:right w:w="108" w:type="dxa"/>
          </w:tblCellMar>
        </w:tblPrEx>
        <w:trPr>
          <w:trHeight w:val="72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16D52C29">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6.4</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34404764">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推荐中标候选人</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115E04BA">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lang w:eastAsia="zh-CN"/>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推荐</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1</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名中标候选人，并列出评标排名次序</w:t>
            </w:r>
            <w:r>
              <w:rPr>
                <w:rFonts w:hint="eastAsia" w:ascii="宋体" w:hAnsi="宋体"/>
                <w:color w:val="auto"/>
                <w:sz w:val="21"/>
                <w:szCs w:val="21"/>
                <w:highlight w:val="none"/>
                <w:lang w:eastAsia="zh-CN"/>
              </w:rPr>
              <w:t>。</w:t>
            </w:r>
          </w:p>
        </w:tc>
      </w:tr>
      <w:tr w14:paraId="6CEF7445">
        <w:tblPrEx>
          <w:tblCellMar>
            <w:top w:w="0" w:type="dxa"/>
            <w:left w:w="108" w:type="dxa"/>
            <w:bottom w:w="0" w:type="dxa"/>
            <w:right w:w="108" w:type="dxa"/>
          </w:tblCellMar>
        </w:tblPrEx>
        <w:trPr>
          <w:trHeight w:val="72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B075B8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6.5</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C4AF0D7">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中标候选人、评标过程及评标结果公示</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4D973937">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kern w:val="2"/>
                <w:sz w:val="21"/>
                <w:szCs w:val="21"/>
                <w:highlight w:val="none"/>
                <w:lang w:eastAsia="zh-CN"/>
              </w:rPr>
            </w:pPr>
            <w:r>
              <w:rPr>
                <w:rFonts w:hint="eastAsia" w:ascii="宋体" w:hAnsi="宋体"/>
                <w:color w:val="auto"/>
                <w:sz w:val="21"/>
                <w:szCs w:val="21"/>
                <w:highlight w:val="none"/>
              </w:rPr>
              <w:t>招标人应当自收到评标报告之日起3日内，将评标结果、评标专家（评标专家姓名可用代码进行标示，如专家一、专家二等）的具体评标意见（含对否决投标人相关意见，经济标打分汇总表，最终排名汇总表等）在</w:t>
            </w:r>
            <w:r>
              <w:rPr>
                <w:rFonts w:hint="eastAsia" w:asciiTheme="minorEastAsia" w:hAnsiTheme="minorEastAsia" w:eastAsiaTheme="minorEastAsia" w:cstheme="minorEastAsia"/>
                <w:color w:val="auto"/>
                <w:spacing w:val="-6"/>
                <w:kern w:val="0"/>
                <w:sz w:val="21"/>
                <w:szCs w:val="21"/>
                <w:highlight w:val="none"/>
                <w:lang w:eastAsia="zh-CN" w:bidi="ar"/>
              </w:rPr>
              <w:t>全国公共资源交易平台(广东省·</w:t>
            </w:r>
            <w:r>
              <w:rPr>
                <w:rFonts w:hint="eastAsia" w:asciiTheme="minorEastAsia" w:hAnsiTheme="minorEastAsia" w:eastAsiaTheme="minorEastAsia" w:cstheme="minorEastAsia"/>
                <w:color w:val="auto"/>
                <w:spacing w:val="-6"/>
                <w:kern w:val="0"/>
                <w:sz w:val="21"/>
                <w:szCs w:val="21"/>
                <w:highlight w:val="none"/>
                <w:lang w:val="en-US" w:eastAsia="zh-CN" w:bidi="ar"/>
              </w:rPr>
              <w:t>佛山市）</w:t>
            </w:r>
            <w:r>
              <w:rPr>
                <w:rFonts w:hint="eastAsia" w:ascii="宋体" w:hAnsi="宋体"/>
                <w:color w:val="auto"/>
                <w:sz w:val="21"/>
                <w:szCs w:val="21"/>
                <w:highlight w:val="none"/>
              </w:rPr>
              <w:t>公示，公示期不得少于3日。</w:t>
            </w:r>
          </w:p>
        </w:tc>
      </w:tr>
      <w:tr w14:paraId="68458586">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1D1794A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3</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4A9ADC68">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s="Courier New"/>
                <w:color w:val="auto"/>
                <w:kern w:val="0"/>
                <w:sz w:val="21"/>
                <w:szCs w:val="21"/>
                <w:highlight w:val="none"/>
                <w:lang w:val="en-US" w:eastAsia="zh-CN"/>
              </w:rPr>
            </w:pPr>
            <w:r>
              <w:rPr>
                <w:rFonts w:hint="eastAsia" w:ascii="宋体" w:hAnsi="宋体"/>
                <w:color w:val="auto"/>
                <w:sz w:val="21"/>
                <w:szCs w:val="21"/>
                <w:highlight w:val="none"/>
              </w:rPr>
              <w:t>技术成果经济补偿</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1AECF0F">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sz w:val="21"/>
                <w:szCs w:val="21"/>
                <w:highlight w:val="none"/>
                <w:lang w:eastAsia="zh-CN"/>
              </w:rPr>
              <w:t>是</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sz w:val="21"/>
                <w:szCs w:val="21"/>
                <w:highlight w:val="none"/>
                <w:lang w:val="en-US" w:eastAsia="zh-CN"/>
              </w:rPr>
              <w:t>否</w:t>
            </w:r>
            <w:r>
              <w:rPr>
                <w:rFonts w:hint="eastAsia" w:ascii="宋体" w:hAnsi="宋体" w:eastAsia="宋体" w:cs="宋体"/>
                <w:bCs/>
                <w:color w:val="auto"/>
                <w:sz w:val="21"/>
                <w:szCs w:val="21"/>
                <w:highlight w:val="none"/>
              </w:rPr>
              <w:t>对未中标人投标文件中的技术成果给予经济补偿。</w:t>
            </w:r>
          </w:p>
        </w:tc>
      </w:tr>
      <w:tr w14:paraId="07FC6891">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CA5AC28">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7.4</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0939FB7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s="Courier New"/>
                <w:color w:val="auto"/>
                <w:kern w:val="0"/>
                <w:sz w:val="21"/>
                <w:szCs w:val="21"/>
                <w:highlight w:val="none"/>
                <w:lang w:val="en-US" w:eastAsia="zh-CN"/>
              </w:rPr>
            </w:pPr>
            <w:r>
              <w:rPr>
                <w:rFonts w:ascii="宋体" w:hAnsi="宋体"/>
                <w:color w:val="auto"/>
                <w:sz w:val="21"/>
                <w:szCs w:val="21"/>
                <w:highlight w:val="none"/>
              </w:rPr>
              <w:t>履约</w:t>
            </w:r>
            <w:r>
              <w:rPr>
                <w:rFonts w:hint="eastAsia" w:ascii="宋体" w:hAnsi="宋体"/>
                <w:color w:val="auto"/>
                <w:sz w:val="21"/>
                <w:szCs w:val="21"/>
                <w:highlight w:val="none"/>
                <w:lang w:val="en-US" w:eastAsia="zh-CN"/>
              </w:rPr>
              <w:t>保证金</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5F487FBB">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履约</w:t>
            </w:r>
            <w:r>
              <w:rPr>
                <w:rFonts w:hint="eastAsia" w:ascii="宋体" w:hAnsi="宋体"/>
                <w:color w:val="auto"/>
                <w:sz w:val="21"/>
                <w:szCs w:val="21"/>
                <w:highlight w:val="none"/>
                <w:lang w:val="en-US" w:eastAsia="zh-CN"/>
              </w:rPr>
              <w:t>保证金</w:t>
            </w:r>
            <w:r>
              <w:rPr>
                <w:rFonts w:hint="eastAsia" w:ascii="宋体" w:hAnsi="宋体"/>
                <w:color w:val="auto"/>
                <w:sz w:val="21"/>
                <w:szCs w:val="21"/>
                <w:highlight w:val="none"/>
              </w:rPr>
              <w:t>形式：</w:t>
            </w:r>
            <w:r>
              <w:rPr>
                <w:rFonts w:ascii="宋体" w:hAnsi="宋体"/>
                <w:color w:val="auto"/>
                <w:kern w:val="0"/>
                <w:sz w:val="21"/>
                <w:szCs w:val="21"/>
                <w:highlight w:val="none"/>
              </w:rPr>
              <w:t>可采用</w:t>
            </w:r>
            <w:r>
              <w:rPr>
                <w:rFonts w:hint="eastAsia" w:ascii="宋体" w:hAnsi="宋体"/>
                <w:color w:val="auto"/>
                <w:kern w:val="0"/>
                <w:sz w:val="21"/>
                <w:szCs w:val="21"/>
                <w:highlight w:val="none"/>
                <w:lang w:val="en-US" w:eastAsia="zh-CN"/>
              </w:rPr>
              <w:t>现金或者银行保函、工程担保公司保函、工程保证保险</w:t>
            </w:r>
            <w:r>
              <w:rPr>
                <w:rFonts w:ascii="宋体" w:hAnsi="宋体"/>
                <w:color w:val="auto"/>
                <w:kern w:val="0"/>
                <w:sz w:val="21"/>
                <w:szCs w:val="21"/>
                <w:highlight w:val="none"/>
              </w:rPr>
              <w:t>等形式</w:t>
            </w:r>
            <w:r>
              <w:rPr>
                <w:rFonts w:hint="eastAsia" w:ascii="宋体" w:hAnsi="宋体"/>
                <w:color w:val="auto"/>
                <w:kern w:val="0"/>
                <w:sz w:val="21"/>
                <w:szCs w:val="21"/>
                <w:highlight w:val="none"/>
              </w:rPr>
              <w:t>。</w:t>
            </w:r>
          </w:p>
          <w:p w14:paraId="69722B27">
            <w:pPr>
              <w:pStyle w:val="2"/>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val="0"/>
                <w:bCs w:val="0"/>
                <w:color w:val="auto"/>
                <w:kern w:val="2"/>
                <w:sz w:val="21"/>
                <w:szCs w:val="21"/>
                <w:highlight w:val="none"/>
              </w:rPr>
            </w:pPr>
            <w:r>
              <w:rPr>
                <w:rFonts w:hint="eastAsia" w:ascii="宋体" w:hAnsi="宋体"/>
                <w:color w:val="auto"/>
                <w:sz w:val="21"/>
                <w:szCs w:val="21"/>
                <w:highlight w:val="none"/>
              </w:rPr>
              <w:t>履约</w:t>
            </w:r>
            <w:r>
              <w:rPr>
                <w:rFonts w:hint="eastAsia" w:ascii="宋体" w:hAnsi="宋体"/>
                <w:color w:val="auto"/>
                <w:sz w:val="21"/>
                <w:szCs w:val="21"/>
                <w:highlight w:val="none"/>
                <w:lang w:val="en-US" w:eastAsia="zh-CN"/>
              </w:rPr>
              <w:t>保证金</w:t>
            </w:r>
            <w:r>
              <w:rPr>
                <w:rFonts w:hint="eastAsia" w:ascii="宋体" w:hAnsi="宋体"/>
                <w:color w:val="auto"/>
                <w:sz w:val="21"/>
                <w:szCs w:val="21"/>
                <w:highlight w:val="none"/>
              </w:rPr>
              <w:t>金额：</w:t>
            </w:r>
            <w:r>
              <w:rPr>
                <w:rFonts w:hint="eastAsia" w:ascii="宋体" w:hAnsi="宋体"/>
                <w:b w:val="0"/>
                <w:bCs w:val="0"/>
                <w:color w:val="auto"/>
                <w:kern w:val="2"/>
                <w:sz w:val="21"/>
                <w:szCs w:val="21"/>
                <w:highlight w:val="none"/>
                <w:u w:val="single"/>
              </w:rPr>
              <w:t xml:space="preserve">签约合同价的10% </w:t>
            </w:r>
            <w:r>
              <w:rPr>
                <w:rFonts w:hint="eastAsia" w:ascii="宋体" w:hAnsi="宋体"/>
                <w:b w:val="0"/>
                <w:bCs w:val="0"/>
                <w:color w:val="auto"/>
                <w:kern w:val="2"/>
                <w:sz w:val="21"/>
                <w:szCs w:val="21"/>
                <w:highlight w:val="none"/>
              </w:rPr>
              <w:t>。</w:t>
            </w:r>
          </w:p>
          <w:p w14:paraId="4C698FD9">
            <w:pPr>
              <w:pStyle w:val="2"/>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val="0"/>
                <w:bCs w:val="0"/>
                <w:color w:val="auto"/>
                <w:kern w:val="2"/>
                <w:sz w:val="21"/>
                <w:szCs w:val="21"/>
                <w:highlight w:val="none"/>
              </w:rPr>
            </w:pPr>
            <w:r>
              <w:rPr>
                <w:rFonts w:hint="eastAsia" w:ascii="宋体" w:hAnsi="宋体"/>
                <w:b w:val="0"/>
                <w:bCs w:val="0"/>
                <w:color w:val="auto"/>
                <w:kern w:val="2"/>
                <w:sz w:val="21"/>
                <w:szCs w:val="21"/>
                <w:highlight w:val="none"/>
              </w:rPr>
              <w:t>履约保证金形式：</w:t>
            </w:r>
            <w:r>
              <w:rPr>
                <w:rFonts w:hint="eastAsia" w:ascii="宋体" w:hAnsi="宋体"/>
                <w:b w:val="0"/>
                <w:bCs w:val="0"/>
                <w:color w:val="auto"/>
                <w:kern w:val="2"/>
                <w:sz w:val="21"/>
                <w:szCs w:val="21"/>
                <w:highlight w:val="none"/>
                <w:u w:val="single"/>
                <w:lang w:val="en-US" w:eastAsia="zh-CN"/>
              </w:rPr>
              <w:t>采用</w:t>
            </w:r>
            <w:r>
              <w:rPr>
                <w:rFonts w:hint="eastAsia" w:ascii="宋体" w:hAnsi="宋体"/>
                <w:b w:val="0"/>
                <w:bCs w:val="0"/>
                <w:color w:val="auto"/>
                <w:kern w:val="2"/>
                <w:sz w:val="21"/>
                <w:szCs w:val="21"/>
                <w:highlight w:val="none"/>
                <w:u w:val="single"/>
              </w:rPr>
              <w:t>现金（或支票）或国有商业银行或股份制商业银行保函或佛山市内国有担保公司的专业担保保函或工程保险保证保单</w:t>
            </w:r>
            <w:r>
              <w:rPr>
                <w:rFonts w:hint="eastAsia" w:ascii="宋体" w:hAnsi="宋体"/>
                <w:b w:val="0"/>
                <w:bCs w:val="0"/>
                <w:color w:val="auto"/>
                <w:kern w:val="2"/>
                <w:sz w:val="21"/>
                <w:szCs w:val="21"/>
                <w:highlight w:val="none"/>
                <w:u w:val="single"/>
                <w:lang w:eastAsia="zh-CN"/>
              </w:rPr>
              <w:t>。</w:t>
            </w:r>
            <w:r>
              <w:rPr>
                <w:rFonts w:hint="eastAsia" w:ascii="宋体" w:hAnsi="宋体"/>
                <w:b w:val="0"/>
                <w:bCs w:val="0"/>
                <w:color w:val="auto"/>
                <w:kern w:val="2"/>
                <w:sz w:val="21"/>
                <w:szCs w:val="21"/>
                <w:highlight w:val="none"/>
                <w:u w:val="single"/>
              </w:rPr>
              <w:t>中标人出具，且保函要求为不可撤销和见索即付</w:t>
            </w:r>
            <w:r>
              <w:rPr>
                <w:rFonts w:hint="eastAsia" w:ascii="宋体" w:hAnsi="宋体"/>
                <w:b w:val="0"/>
                <w:bCs w:val="0"/>
                <w:color w:val="auto"/>
                <w:kern w:val="2"/>
                <w:sz w:val="21"/>
                <w:szCs w:val="21"/>
                <w:highlight w:val="none"/>
              </w:rPr>
              <w:t>。</w:t>
            </w:r>
          </w:p>
          <w:p w14:paraId="7BA88BC2">
            <w:pPr>
              <w:pStyle w:val="2"/>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val="0"/>
                <w:bCs w:val="0"/>
                <w:color w:val="auto"/>
                <w:kern w:val="2"/>
                <w:sz w:val="21"/>
                <w:szCs w:val="21"/>
                <w:highlight w:val="none"/>
              </w:rPr>
            </w:pPr>
            <w:r>
              <w:rPr>
                <w:rFonts w:hint="eastAsia" w:ascii="宋体" w:hAnsi="宋体"/>
                <w:b w:val="0"/>
                <w:bCs w:val="0"/>
                <w:color w:val="auto"/>
                <w:kern w:val="2"/>
                <w:sz w:val="21"/>
                <w:szCs w:val="21"/>
                <w:highlight w:val="none"/>
              </w:rPr>
              <w:t>银行保函的银行级别：</w:t>
            </w:r>
            <w:r>
              <w:rPr>
                <w:rFonts w:hint="eastAsia" w:ascii="宋体" w:hAnsi="宋体"/>
                <w:b w:val="0"/>
                <w:bCs w:val="0"/>
                <w:color w:val="auto"/>
                <w:kern w:val="2"/>
                <w:sz w:val="21"/>
                <w:szCs w:val="21"/>
                <w:highlight w:val="none"/>
                <w:u w:val="single"/>
              </w:rPr>
              <w:t>国有商业银行或股份制商业银行,且正式出具前须将银行保函格式送招标人审核同意，否则招标人有权不予接受</w:t>
            </w:r>
            <w:r>
              <w:rPr>
                <w:rFonts w:hint="eastAsia" w:ascii="宋体" w:hAnsi="宋体"/>
                <w:b w:val="0"/>
                <w:bCs w:val="0"/>
                <w:color w:val="auto"/>
                <w:kern w:val="2"/>
                <w:sz w:val="21"/>
                <w:szCs w:val="21"/>
                <w:highlight w:val="none"/>
              </w:rPr>
              <w:t>。</w:t>
            </w:r>
          </w:p>
          <w:p w14:paraId="1F3FA81A">
            <w:pPr>
              <w:pStyle w:val="2"/>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val="0"/>
                <w:bCs w:val="0"/>
                <w:color w:val="auto"/>
                <w:kern w:val="2"/>
                <w:sz w:val="21"/>
                <w:szCs w:val="21"/>
                <w:highlight w:val="none"/>
              </w:rPr>
            </w:pPr>
            <w:r>
              <w:rPr>
                <w:rFonts w:hint="eastAsia" w:ascii="宋体" w:hAnsi="宋体"/>
                <w:b w:val="0"/>
                <w:bCs w:val="0"/>
                <w:color w:val="auto"/>
                <w:kern w:val="2"/>
                <w:sz w:val="21"/>
                <w:szCs w:val="21"/>
                <w:highlight w:val="none"/>
              </w:rPr>
              <w:t>履约保证金提交时限：</w:t>
            </w:r>
            <w:r>
              <w:rPr>
                <w:rFonts w:hint="eastAsia" w:ascii="宋体" w:hAnsi="宋体"/>
                <w:b w:val="0"/>
                <w:bCs w:val="0"/>
                <w:color w:val="auto"/>
                <w:kern w:val="2"/>
                <w:sz w:val="21"/>
                <w:szCs w:val="21"/>
                <w:highlight w:val="none"/>
                <w:u w:val="single"/>
              </w:rPr>
              <w:t xml:space="preserve">在本合同签订后 </w:t>
            </w:r>
            <w:r>
              <w:rPr>
                <w:rFonts w:hint="eastAsia" w:ascii="宋体" w:hAnsi="宋体"/>
                <w:b w:val="0"/>
                <w:bCs w:val="0"/>
                <w:color w:val="auto"/>
                <w:kern w:val="2"/>
                <w:sz w:val="21"/>
                <w:szCs w:val="21"/>
                <w:highlight w:val="none"/>
                <w:u w:val="single"/>
                <w:lang w:val="en-US" w:eastAsia="zh-CN"/>
              </w:rPr>
              <w:t>3</w:t>
            </w:r>
            <w:r>
              <w:rPr>
                <w:rFonts w:hint="eastAsia" w:ascii="宋体" w:hAnsi="宋体"/>
                <w:b w:val="0"/>
                <w:bCs w:val="0"/>
                <w:color w:val="auto"/>
                <w:kern w:val="2"/>
                <w:sz w:val="21"/>
                <w:szCs w:val="21"/>
                <w:highlight w:val="none"/>
                <w:u w:val="single"/>
              </w:rPr>
              <w:t>0 个工作日内提交</w:t>
            </w:r>
            <w:r>
              <w:rPr>
                <w:rFonts w:hint="eastAsia" w:ascii="宋体" w:hAnsi="宋体"/>
                <w:b w:val="0"/>
                <w:bCs w:val="0"/>
                <w:color w:val="auto"/>
                <w:kern w:val="2"/>
                <w:sz w:val="21"/>
                <w:szCs w:val="21"/>
                <w:highlight w:val="none"/>
              </w:rPr>
              <w:t>。</w:t>
            </w:r>
          </w:p>
          <w:p w14:paraId="674192BB">
            <w:pPr>
              <w:pStyle w:val="2"/>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val="0"/>
                <w:bCs w:val="0"/>
                <w:color w:val="auto"/>
                <w:kern w:val="2"/>
                <w:sz w:val="21"/>
                <w:szCs w:val="21"/>
                <w:highlight w:val="none"/>
              </w:rPr>
            </w:pPr>
            <w:r>
              <w:rPr>
                <w:rFonts w:hint="eastAsia" w:ascii="宋体" w:hAnsi="宋体"/>
                <w:b w:val="0"/>
                <w:bCs w:val="0"/>
                <w:color w:val="auto"/>
                <w:kern w:val="2"/>
                <w:sz w:val="21"/>
                <w:szCs w:val="21"/>
                <w:highlight w:val="none"/>
              </w:rPr>
              <w:t>履约担保的有效期：</w:t>
            </w:r>
            <w:r>
              <w:rPr>
                <w:rFonts w:hint="eastAsia" w:ascii="宋体" w:hAnsi="宋体" w:eastAsia="宋体"/>
                <w:b w:val="0"/>
                <w:bCs w:val="0"/>
                <w:color w:val="auto"/>
                <w:kern w:val="2"/>
                <w:sz w:val="21"/>
                <w:szCs w:val="21"/>
                <w:highlight w:val="none"/>
                <w:u w:val="single"/>
                <w:lang w:val="en-US" w:eastAsia="zh-CN"/>
              </w:rPr>
              <w:t>中标</w:t>
            </w:r>
            <w:r>
              <w:rPr>
                <w:rFonts w:hint="eastAsia" w:ascii="宋体" w:hAnsi="宋体"/>
                <w:b w:val="0"/>
                <w:bCs w:val="0"/>
                <w:color w:val="auto"/>
                <w:kern w:val="2"/>
                <w:sz w:val="21"/>
                <w:szCs w:val="21"/>
                <w:highlight w:val="none"/>
                <w:u w:val="single"/>
              </w:rPr>
              <w:t>人应保证其履约担保在本项目全部服务内容和义务履行完毕前一直有效。若履约保函有效期届满，本项目全部服务内容和义务仍未全部履行完毕的，</w:t>
            </w:r>
            <w:r>
              <w:rPr>
                <w:rFonts w:hint="eastAsia" w:ascii="宋体" w:hAnsi="宋体" w:eastAsia="宋体"/>
                <w:b w:val="0"/>
                <w:bCs w:val="0"/>
                <w:color w:val="auto"/>
                <w:kern w:val="2"/>
                <w:sz w:val="21"/>
                <w:szCs w:val="21"/>
                <w:highlight w:val="none"/>
                <w:u w:val="single"/>
                <w:lang w:val="en-US" w:eastAsia="zh-CN"/>
              </w:rPr>
              <w:t>中标</w:t>
            </w:r>
            <w:r>
              <w:rPr>
                <w:rFonts w:hint="eastAsia" w:ascii="宋体" w:hAnsi="宋体"/>
                <w:b w:val="0"/>
                <w:bCs w:val="0"/>
                <w:color w:val="auto"/>
                <w:kern w:val="2"/>
                <w:sz w:val="21"/>
                <w:szCs w:val="21"/>
                <w:highlight w:val="none"/>
                <w:u w:val="single"/>
              </w:rPr>
              <w:t>人必须无条件在保函到期前的30天内将保函（或工程保险保证保单）续期或者重新开具保函（或工程保险保证保单），保函期限至本项目全部服务内容和义务履行完毕。执行本条各项要求所需的费用由</w:t>
            </w:r>
            <w:r>
              <w:rPr>
                <w:rFonts w:hint="eastAsia" w:ascii="宋体" w:hAnsi="宋体" w:eastAsia="宋体"/>
                <w:b w:val="0"/>
                <w:bCs w:val="0"/>
                <w:color w:val="auto"/>
                <w:kern w:val="2"/>
                <w:sz w:val="21"/>
                <w:szCs w:val="21"/>
                <w:highlight w:val="none"/>
                <w:u w:val="single"/>
                <w:lang w:val="en-US" w:eastAsia="zh-CN"/>
              </w:rPr>
              <w:t>中标</w:t>
            </w:r>
            <w:r>
              <w:rPr>
                <w:rFonts w:hint="eastAsia" w:ascii="宋体" w:hAnsi="宋体"/>
                <w:b w:val="0"/>
                <w:bCs w:val="0"/>
                <w:color w:val="auto"/>
                <w:kern w:val="2"/>
                <w:sz w:val="21"/>
                <w:szCs w:val="21"/>
                <w:highlight w:val="none"/>
                <w:u w:val="single"/>
              </w:rPr>
              <w:t>人承担</w:t>
            </w:r>
            <w:r>
              <w:rPr>
                <w:rFonts w:hint="eastAsia" w:ascii="宋体" w:hAnsi="宋体"/>
                <w:b w:val="0"/>
                <w:bCs w:val="0"/>
                <w:color w:val="auto"/>
                <w:kern w:val="2"/>
                <w:sz w:val="21"/>
                <w:szCs w:val="21"/>
                <w:highlight w:val="none"/>
              </w:rPr>
              <w:t>。</w:t>
            </w:r>
          </w:p>
          <w:p w14:paraId="7F40DBC2">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b w:val="0"/>
                <w:bCs w:val="0"/>
                <w:color w:val="auto"/>
                <w:kern w:val="2"/>
                <w:sz w:val="21"/>
                <w:szCs w:val="21"/>
                <w:highlight w:val="none"/>
              </w:rPr>
              <w:t>履约担保退回时间：</w:t>
            </w:r>
            <w:r>
              <w:rPr>
                <w:rFonts w:hint="eastAsia" w:ascii="宋体" w:hAnsi="宋体"/>
                <w:b w:val="0"/>
                <w:bCs w:val="0"/>
                <w:color w:val="auto"/>
                <w:kern w:val="2"/>
                <w:sz w:val="21"/>
                <w:szCs w:val="21"/>
                <w:highlight w:val="none"/>
                <w:u w:val="single"/>
                <w:lang w:val="en-US" w:eastAsia="zh-CN"/>
              </w:rPr>
              <w:t>本项目经招标人确认中标人本合同全部服务内容和义务履行完毕且结清违约金后的30个日历天内，将履约担保款项（无息）退还给中标人。</w:t>
            </w:r>
          </w:p>
        </w:tc>
      </w:tr>
      <w:tr w14:paraId="446A77CD">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46EA994">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b/>
                <w:color w:val="auto"/>
                <w:sz w:val="21"/>
                <w:szCs w:val="21"/>
                <w:highlight w:val="none"/>
              </w:rPr>
            </w:pPr>
            <w:r>
              <w:rPr>
                <w:rFonts w:hint="eastAsia" w:ascii="宋体" w:hAnsi="宋体"/>
                <w:b/>
                <w:color w:val="auto"/>
                <w:sz w:val="21"/>
                <w:szCs w:val="21"/>
                <w:highlight w:val="none"/>
              </w:rPr>
              <w:t>10</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04C9E89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b/>
                <w:color w:val="auto"/>
                <w:sz w:val="21"/>
                <w:szCs w:val="21"/>
                <w:highlight w:val="none"/>
              </w:rPr>
            </w:pPr>
            <w:r>
              <w:rPr>
                <w:rFonts w:hint="eastAsia" w:ascii="宋体" w:hAnsi="宋体"/>
                <w:b/>
                <w:color w:val="auto"/>
                <w:sz w:val="21"/>
                <w:szCs w:val="21"/>
                <w:highlight w:val="none"/>
              </w:rPr>
              <w:t>需要</w:t>
            </w:r>
            <w:r>
              <w:rPr>
                <w:rFonts w:ascii="宋体" w:hAnsi="宋体"/>
                <w:b/>
                <w:color w:val="auto"/>
                <w:sz w:val="21"/>
                <w:szCs w:val="21"/>
                <w:highlight w:val="none"/>
              </w:rPr>
              <w:t>补充</w:t>
            </w:r>
            <w:r>
              <w:rPr>
                <w:rFonts w:hint="eastAsia" w:ascii="宋体" w:hAnsi="宋体"/>
                <w:b/>
                <w:color w:val="auto"/>
                <w:sz w:val="21"/>
                <w:szCs w:val="21"/>
                <w:highlight w:val="none"/>
              </w:rPr>
              <w:t>的其他</w:t>
            </w:r>
            <w:r>
              <w:rPr>
                <w:rFonts w:ascii="宋体" w:hAnsi="宋体"/>
                <w:b/>
                <w:color w:val="auto"/>
                <w:sz w:val="21"/>
                <w:szCs w:val="21"/>
                <w:highlight w:val="none"/>
              </w:rPr>
              <w:t>内容</w:t>
            </w:r>
          </w:p>
        </w:tc>
      </w:tr>
      <w:tr w14:paraId="7D02960E">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87A452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10.1</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0E16D9EF">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sz w:val="21"/>
                <w:szCs w:val="21"/>
                <w:highlight w:val="none"/>
              </w:rPr>
            </w:pPr>
            <w:r>
              <w:rPr>
                <w:rFonts w:hint="eastAsia" w:ascii="宋体" w:hAnsi="宋体"/>
                <w:color w:val="auto"/>
                <w:sz w:val="21"/>
                <w:szCs w:val="21"/>
                <w:highlight w:val="none"/>
              </w:rPr>
              <w:t>词语定义</w:t>
            </w:r>
          </w:p>
        </w:tc>
      </w:tr>
      <w:tr w14:paraId="4B97A43B">
        <w:tblPrEx>
          <w:tblCellMar>
            <w:top w:w="0" w:type="dxa"/>
            <w:left w:w="108" w:type="dxa"/>
            <w:bottom w:w="0" w:type="dxa"/>
            <w:right w:w="108" w:type="dxa"/>
          </w:tblCellMar>
        </w:tblPrEx>
        <w:trPr>
          <w:trHeight w:val="461"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0717AE9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eastAsia="宋体"/>
                <w:color w:val="auto"/>
                <w:sz w:val="21"/>
                <w:szCs w:val="21"/>
                <w:highlight w:val="no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3455829">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类似工程</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1E335DD7">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类似工程是指：</w:t>
            </w:r>
            <w:r>
              <w:rPr>
                <w:rFonts w:hint="eastAsia" w:ascii="宋体" w:hAnsi="宋体"/>
                <w:color w:val="auto"/>
                <w:sz w:val="21"/>
                <w:szCs w:val="21"/>
                <w:highlight w:val="none"/>
                <w:u w:val="single"/>
              </w:rPr>
              <w:t>　　　　　</w:t>
            </w:r>
            <w:r>
              <w:rPr>
                <w:rFonts w:hint="eastAsia" w:ascii="宋体" w:hAnsi="宋体"/>
                <w:color w:val="auto"/>
                <w:sz w:val="21"/>
                <w:szCs w:val="21"/>
                <w:highlight w:val="none"/>
                <w:u w:val="single"/>
                <w:lang w:val="en-US" w:eastAsia="zh-CN"/>
              </w:rPr>
              <w:t>/</w:t>
            </w:r>
            <w:r>
              <w:rPr>
                <w:rFonts w:hint="eastAsia" w:ascii="宋体" w:hAnsi="宋体"/>
                <w:color w:val="auto"/>
                <w:sz w:val="21"/>
                <w:szCs w:val="21"/>
                <w:highlight w:val="none"/>
                <w:u w:val="single"/>
              </w:rPr>
              <w:t>　　　</w:t>
            </w:r>
          </w:p>
        </w:tc>
      </w:tr>
      <w:tr w14:paraId="57E34757">
        <w:tblPrEx>
          <w:tblCellMar>
            <w:top w:w="0" w:type="dxa"/>
            <w:left w:w="108" w:type="dxa"/>
            <w:bottom w:w="0" w:type="dxa"/>
            <w:right w:w="108" w:type="dxa"/>
          </w:tblCellMar>
        </w:tblPrEx>
        <w:trPr>
          <w:trHeight w:val="509"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61F4564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eastAsia="宋体"/>
                <w:color w:val="auto"/>
                <w:sz w:val="21"/>
                <w:szCs w:val="21"/>
                <w:highlight w:val="no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center"/>
          </w:tcPr>
          <w:p w14:paraId="6E96F73F">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 w:val="21"/>
                <w:szCs w:val="21"/>
                <w:highlight w:val="none"/>
                <w:lang w:val="en-US" w:eastAsia="zh-CN"/>
              </w:rPr>
              <w:t>技术职称专业</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7259B903">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lang w:val="en-US" w:eastAsia="zh-CN"/>
              </w:rPr>
              <w:t>技术职称的专业包括：</w:t>
            </w:r>
            <w:r>
              <w:rPr>
                <w:rFonts w:hint="eastAsia" w:ascii="宋体" w:hAnsi="宋体"/>
                <w:color w:val="auto"/>
                <w:sz w:val="21"/>
                <w:szCs w:val="21"/>
                <w:highlight w:val="none"/>
                <w:u w:val="single"/>
                <w:lang w:val="en-US" w:eastAsia="zh-CN"/>
              </w:rPr>
              <w:t xml:space="preserve">    /      </w:t>
            </w:r>
          </w:p>
        </w:tc>
      </w:tr>
      <w:tr w14:paraId="6164BA94">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64F3ACF">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2</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7B5600FD">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olor w:val="auto"/>
                <w:sz w:val="21"/>
                <w:szCs w:val="21"/>
                <w:highlight w:val="none"/>
                <w:bdr w:val="single" w:color="auto" w:sz="4" w:space="0"/>
                <w:lang w:eastAsia="zh-CN"/>
              </w:rPr>
            </w:pPr>
            <w:r>
              <w:rPr>
                <w:rFonts w:hint="eastAsia" w:ascii="宋体" w:hAnsi="宋体"/>
                <w:color w:val="auto"/>
                <w:sz w:val="21"/>
                <w:szCs w:val="21"/>
                <w:highlight w:val="none"/>
                <w:lang w:eastAsia="zh-CN"/>
              </w:rPr>
              <w:t>投标文件</w:t>
            </w:r>
          </w:p>
        </w:tc>
      </w:tr>
      <w:tr w14:paraId="4E7B9822">
        <w:tblPrEx>
          <w:tblCellMar>
            <w:top w:w="0" w:type="dxa"/>
            <w:left w:w="108" w:type="dxa"/>
            <w:bottom w:w="0" w:type="dxa"/>
            <w:right w:w="108" w:type="dxa"/>
          </w:tblCellMar>
        </w:tblPrEx>
        <w:trPr>
          <w:trHeight w:val="627"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749CFC6">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1788" w:type="dxa"/>
            <w:tcBorders>
              <w:top w:val="single" w:color="auto" w:sz="4" w:space="0"/>
              <w:left w:val="single" w:color="auto" w:sz="4" w:space="0"/>
              <w:bottom w:val="single" w:color="auto" w:sz="4" w:space="0"/>
              <w:right w:val="single" w:color="auto" w:sz="4" w:space="0"/>
            </w:tcBorders>
            <w:noWrap w:val="0"/>
            <w:vAlign w:val="center"/>
          </w:tcPr>
          <w:p w14:paraId="3C198B40">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是否要求投标人同时递交投标文件电子版</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39FC4B7">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sym w:font="Wingdings 2" w:char="00A3"/>
            </w:r>
            <w:r>
              <w:rPr>
                <w:rFonts w:hint="eastAsia" w:ascii="宋体" w:hAnsi="宋体"/>
                <w:color w:val="auto"/>
                <w:sz w:val="21"/>
                <w:szCs w:val="21"/>
                <w:highlight w:val="none"/>
              </w:rPr>
              <w:t>不要求</w:t>
            </w:r>
          </w:p>
          <w:p w14:paraId="34C3ECAF">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sym w:font="Wingdings 2" w:char="0052"/>
            </w:r>
            <w:r>
              <w:rPr>
                <w:rFonts w:hint="eastAsia" w:ascii="宋体" w:hAnsi="宋体"/>
                <w:color w:val="auto"/>
                <w:sz w:val="21"/>
                <w:szCs w:val="21"/>
                <w:highlight w:val="none"/>
              </w:rPr>
              <w:t>要求，投标文件电子版内容：</w:t>
            </w:r>
          </w:p>
          <w:p w14:paraId="1A250954">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1）投标文件电子版以U盘为载体，应包括所有的投标内容，即文本文件（经济标、资信标（含资格审查资料））正本签字盖章后彩色扫描制作的PDF格式电子文件一套以及可编辑的投标文件正本WORD或EXCEL格式电子文件一套。</w:t>
            </w:r>
          </w:p>
          <w:p w14:paraId="5677960C">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bdr w:val="single" w:color="auto" w:sz="4" w:space="0"/>
              </w:rPr>
            </w:pPr>
            <w:r>
              <w:rPr>
                <w:rFonts w:hint="eastAsia" w:ascii="宋体" w:hAnsi="宋体"/>
                <w:color w:val="auto"/>
                <w:sz w:val="21"/>
                <w:szCs w:val="21"/>
                <w:highlight w:val="none"/>
              </w:rPr>
              <w:t>（2）投标文件电子版份数：</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1</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份（</w:t>
            </w:r>
            <w:r>
              <w:rPr>
                <w:rFonts w:hint="eastAsia" w:ascii="宋体" w:hAnsi="宋体"/>
                <w:color w:val="auto"/>
                <w:sz w:val="21"/>
                <w:szCs w:val="21"/>
                <w:highlight w:val="none"/>
                <w:lang w:val="en-US" w:eastAsia="zh-CN"/>
              </w:rPr>
              <w:t>提供</w:t>
            </w:r>
            <w:r>
              <w:rPr>
                <w:rFonts w:hint="eastAsia" w:ascii="宋体" w:hAnsi="宋体"/>
                <w:color w:val="auto"/>
                <w:sz w:val="21"/>
                <w:szCs w:val="21"/>
                <w:highlight w:val="none"/>
              </w:rPr>
              <w:t>2个U盘，U盘包含上述的PDF 格式及Word格式文档）</w:t>
            </w:r>
          </w:p>
        </w:tc>
      </w:tr>
      <w:tr w14:paraId="2BC9F71F">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329BB4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3</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4519C31A">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sz w:val="21"/>
                <w:szCs w:val="21"/>
                <w:highlight w:val="none"/>
              </w:rPr>
            </w:pPr>
            <w:r>
              <w:rPr>
                <w:rFonts w:hint="eastAsia" w:ascii="宋体" w:hAnsi="宋体"/>
                <w:color w:val="auto"/>
                <w:sz w:val="21"/>
                <w:szCs w:val="21"/>
                <w:highlight w:val="none"/>
              </w:rPr>
              <w:t>知识产权</w:t>
            </w:r>
          </w:p>
        </w:tc>
      </w:tr>
      <w:tr w14:paraId="07437196">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9D292A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770D4910">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50D2F871">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667C5137">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4</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3B276258">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sz w:val="21"/>
                <w:szCs w:val="21"/>
                <w:highlight w:val="none"/>
              </w:rPr>
            </w:pPr>
            <w:r>
              <w:rPr>
                <w:rFonts w:hint="eastAsia" w:ascii="宋体" w:hAnsi="宋体"/>
                <w:color w:val="auto"/>
                <w:sz w:val="21"/>
                <w:szCs w:val="21"/>
                <w:highlight w:val="none"/>
              </w:rPr>
              <w:t>同义词语</w:t>
            </w:r>
          </w:p>
        </w:tc>
      </w:tr>
      <w:tr w14:paraId="1126E332">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0AD9E8D3">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089E179C">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构成招标文件组成部分的“合同条款及格式”章节中出现的措辞“发包人”和“承包人”，在招标投标阶段应当分别按“招标人”和“投标人”、“中标人”进行理解；“项目经理”与“项目负责人”应按相同定义进行理解。</w:t>
            </w:r>
          </w:p>
        </w:tc>
      </w:tr>
      <w:tr w14:paraId="3F452781">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869788F">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5</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2754A480">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sz w:val="21"/>
                <w:szCs w:val="21"/>
                <w:highlight w:val="none"/>
              </w:rPr>
            </w:pPr>
            <w:r>
              <w:rPr>
                <w:rFonts w:hint="eastAsia" w:ascii="宋体" w:hAnsi="宋体"/>
                <w:color w:val="auto"/>
                <w:sz w:val="21"/>
                <w:szCs w:val="21"/>
                <w:highlight w:val="none"/>
              </w:rPr>
              <w:t>监督</w:t>
            </w:r>
          </w:p>
        </w:tc>
      </w:tr>
      <w:tr w14:paraId="447B20C3">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611C503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68C7D955">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本招标项目</w:t>
            </w:r>
            <w:r>
              <w:rPr>
                <w:rFonts w:hint="eastAsia" w:ascii="宋体" w:hAnsi="宋体"/>
                <w:color w:val="auto"/>
                <w:sz w:val="21"/>
                <w:szCs w:val="21"/>
                <w:highlight w:val="none"/>
              </w:rPr>
              <w:t>的招标投标活动及其相关当事人应当接受有管辖权的</w:t>
            </w:r>
            <w:r>
              <w:rPr>
                <w:rFonts w:hint="eastAsia" w:ascii="宋体" w:hAnsi="宋体"/>
                <w:color w:val="auto"/>
                <w:sz w:val="21"/>
                <w:szCs w:val="21"/>
                <w:highlight w:val="none"/>
                <w:lang w:eastAsia="zh-CN"/>
              </w:rPr>
              <w:t>政务服务</w:t>
            </w:r>
            <w:r>
              <w:rPr>
                <w:rFonts w:hint="eastAsia" w:ascii="宋体" w:hAnsi="宋体"/>
                <w:color w:val="auto"/>
                <w:sz w:val="21"/>
                <w:szCs w:val="21"/>
                <w:highlight w:val="none"/>
                <w:lang w:val="en-US" w:eastAsia="zh-CN"/>
              </w:rPr>
              <w:t>和</w:t>
            </w:r>
            <w:r>
              <w:rPr>
                <w:rFonts w:hint="eastAsia" w:ascii="宋体" w:hAnsi="宋体"/>
                <w:color w:val="auto"/>
                <w:sz w:val="21"/>
                <w:szCs w:val="21"/>
                <w:highlight w:val="none"/>
                <w:lang w:eastAsia="zh-CN"/>
              </w:rPr>
              <w:t>数据管理</w:t>
            </w:r>
            <w:r>
              <w:rPr>
                <w:rFonts w:hint="eastAsia" w:ascii="宋体" w:hAnsi="宋体"/>
                <w:color w:val="auto"/>
                <w:sz w:val="21"/>
                <w:szCs w:val="21"/>
                <w:highlight w:val="none"/>
                <w:lang w:val="en-US" w:eastAsia="zh-CN"/>
              </w:rPr>
              <w:t>部门以及行业主管部门</w:t>
            </w:r>
            <w:r>
              <w:rPr>
                <w:rFonts w:hint="eastAsia" w:ascii="宋体" w:hAnsi="宋体"/>
                <w:color w:val="auto"/>
                <w:sz w:val="21"/>
                <w:szCs w:val="21"/>
                <w:highlight w:val="none"/>
              </w:rPr>
              <w:t>依法实施的监督。</w:t>
            </w:r>
          </w:p>
        </w:tc>
      </w:tr>
      <w:tr w14:paraId="0D28668F">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72F55BA">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6</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15828D8C">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sz w:val="21"/>
                <w:szCs w:val="21"/>
                <w:highlight w:val="none"/>
              </w:rPr>
            </w:pPr>
            <w:r>
              <w:rPr>
                <w:rFonts w:hint="eastAsia" w:ascii="宋体" w:hAnsi="宋体"/>
                <w:color w:val="auto"/>
                <w:sz w:val="21"/>
                <w:szCs w:val="21"/>
                <w:highlight w:val="none"/>
              </w:rPr>
              <w:t>解释权</w:t>
            </w:r>
          </w:p>
        </w:tc>
      </w:tr>
      <w:tr w14:paraId="58DF21D0">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1DFFC80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49C73056">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人须知、</w:t>
            </w:r>
            <w:r>
              <w:rPr>
                <w:rFonts w:hint="eastAsia" w:ascii="宋体" w:hAnsi="宋体"/>
                <w:color w:val="auto"/>
                <w:szCs w:val="21"/>
                <w:highlight w:val="none"/>
              </w:rPr>
              <w:t>评标办法</w:t>
            </w:r>
            <w:r>
              <w:rPr>
                <w:rFonts w:hint="eastAsia" w:ascii="宋体" w:hAnsi="宋体"/>
                <w:color w:val="auto"/>
                <w:sz w:val="21"/>
                <w:szCs w:val="21"/>
                <w:highlight w:val="none"/>
              </w:rPr>
              <w:t>、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7F1600D7">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B1FF0F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7</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3C7949A3">
            <w:pPr>
              <w:keepNext w:val="0"/>
              <w:keepLines w:val="0"/>
              <w:pageBreakBefore w:val="0"/>
              <w:kinsoku/>
              <w:wordWrap/>
              <w:overflowPunct/>
              <w:topLinePunct w:val="0"/>
              <w:autoSpaceDE/>
              <w:autoSpaceDN/>
              <w:bidi w:val="0"/>
              <w:adjustRightIn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color w:val="auto"/>
                <w:sz w:val="21"/>
                <w:szCs w:val="21"/>
                <w:highlight w:val="none"/>
              </w:rPr>
              <w:t>合同服务费拨付方式</w:t>
            </w:r>
          </w:p>
        </w:tc>
      </w:tr>
      <w:tr w14:paraId="01345365">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DD296D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30440DDD">
            <w:pPr>
              <w:keepNext w:val="0"/>
              <w:keepLines w:val="0"/>
              <w:pageBreakBefore w:val="0"/>
              <w:kinsoku/>
              <w:wordWrap/>
              <w:overflowPunct/>
              <w:topLinePunct w:val="0"/>
              <w:autoSpaceDE/>
              <w:autoSpaceDN/>
              <w:bidi w:val="0"/>
              <w:adjustRightInd/>
              <w:spacing w:line="312" w:lineRule="auto"/>
              <w:ind w:right="0" w:firstLine="0" w:firstLineChars="0"/>
              <w:textAlignment w:val="auto"/>
              <w:rPr>
                <w:rFonts w:hint="default" w:ascii="宋体" w:hAnsi="宋体" w:eastAsia="宋体" w:cs="宋体"/>
                <w:color w:val="auto"/>
                <w:sz w:val="21"/>
                <w:szCs w:val="21"/>
                <w:highlight w:val="none"/>
                <w:u w:val="single"/>
                <w:lang w:val="en-US" w:eastAsia="zh-CN"/>
              </w:rPr>
            </w:pPr>
            <w:r>
              <w:rPr>
                <w:rFonts w:hint="eastAsia" w:ascii="宋体" w:hAnsi="宋体"/>
                <w:color w:val="auto"/>
                <w:sz w:val="21"/>
                <w:szCs w:val="21"/>
                <w:highlight w:val="none"/>
              </w:rPr>
              <w:t>详见合同条款</w:t>
            </w:r>
          </w:p>
        </w:tc>
      </w:tr>
      <w:tr w14:paraId="65166744">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B4ED81A">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10.8</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7400F0A2">
            <w:pPr>
              <w:keepNext w:val="0"/>
              <w:keepLines w:val="0"/>
              <w:pageBreakBefore w:val="0"/>
              <w:kinsoku/>
              <w:wordWrap/>
              <w:overflowPunct/>
              <w:topLinePunct w:val="0"/>
              <w:autoSpaceDE/>
              <w:autoSpaceDN/>
              <w:bidi w:val="0"/>
              <w:adjustRightInd/>
              <w:spacing w:line="312" w:lineRule="auto"/>
              <w:ind w:right="0" w:firstLine="0" w:firstLineChars="0"/>
              <w:textAlignment w:val="auto"/>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因本项目采用“简易评标法”评标，只对经济标进行评审，若存在投标单位经济标报价相同且并列第一的情况，则须在交易中心工作人员的见证下，由招标人以摇珠的方式确定一家中标候选人。</w:t>
            </w:r>
          </w:p>
        </w:tc>
      </w:tr>
      <w:tr w14:paraId="160CC125">
        <w:tblPrEx>
          <w:tblCellMar>
            <w:top w:w="0" w:type="dxa"/>
            <w:left w:w="108" w:type="dxa"/>
            <w:bottom w:w="0" w:type="dxa"/>
            <w:right w:w="108" w:type="dxa"/>
          </w:tblCellMar>
        </w:tblPrEx>
        <w:trPr>
          <w:trHeight w:val="603"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7A94BF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10.9</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0F08922B">
            <w:pPr>
              <w:keepNext w:val="0"/>
              <w:keepLines w:val="0"/>
              <w:pageBreakBefore w:val="0"/>
              <w:widowControl/>
              <w:numPr>
                <w:ilvl w:val="0"/>
                <w:numId w:val="0"/>
              </w:numPr>
              <w:wordWrap/>
              <w:overflowPunct/>
              <w:topLinePunct w:val="0"/>
              <w:bidi w:val="0"/>
              <w:spacing w:line="312" w:lineRule="auto"/>
              <w:ind w:left="210" w:right="0"/>
              <w:jc w:val="left"/>
              <w:rPr>
                <w:rFonts w:hint="eastAsia" w:ascii="宋体" w:hAnsi="宋体" w:eastAsia="宋体" w:cs="宋体"/>
                <w:color w:val="auto"/>
                <w:sz w:val="21"/>
                <w:szCs w:val="21"/>
                <w:highlight w:val="none"/>
                <w:lang w:val="en-US" w:eastAsia="zh-CN"/>
              </w:rPr>
            </w:pPr>
            <w:r>
              <w:rPr>
                <w:rFonts w:hint="eastAsia" w:ascii="宋体" w:hAnsi="宋体"/>
                <w:color w:val="auto"/>
                <w:highlight w:val="none"/>
                <w:lang w:val="en-US" w:eastAsia="zh-CN"/>
              </w:rPr>
              <w:t>开标时，招标人通过随机摇珠的方式</w:t>
            </w:r>
            <w:r>
              <w:rPr>
                <w:rFonts w:hint="eastAsia" w:ascii="宋体" w:hAnsi="宋体" w:eastAsia="宋体" w:cs="宋体"/>
                <w:color w:val="auto"/>
                <w:sz w:val="21"/>
                <w:szCs w:val="21"/>
                <w:highlight w:val="none"/>
                <w:lang w:val="en-US" w:eastAsia="zh-CN"/>
              </w:rPr>
              <w:t>从</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lang w:val="en-US" w:eastAsia="zh-CN"/>
              </w:rPr>
              <w:t>%中，以0.2%为一档等差增序排号，一次性随机抽取3个不同数值，3个数值的平均值即为下浮率k。下浮系数取值范围如下表：</w:t>
            </w:r>
          </w:p>
          <w:tbl>
            <w:tblPr>
              <w:tblStyle w:val="17"/>
              <w:tblW w:w="0" w:type="auto"/>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1"/>
              <w:gridCol w:w="656"/>
              <w:gridCol w:w="656"/>
              <w:gridCol w:w="656"/>
              <w:gridCol w:w="656"/>
              <w:gridCol w:w="656"/>
              <w:gridCol w:w="656"/>
              <w:gridCol w:w="656"/>
              <w:gridCol w:w="766"/>
              <w:gridCol w:w="656"/>
            </w:tblGrid>
            <w:tr w14:paraId="502DB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5687F410">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编号</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A923457">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06718BB">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9AE3B09">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3F3784D">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410EDE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D7E059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4960EB7">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91ECF2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B204F6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r>
            <w:tr w14:paraId="5CA61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ED7C84D">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下浮率k</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FFD724B">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D794D23">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0454B4B">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025D869">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AAD8EEF">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760477D">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2F08A2F">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15694A3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6DE437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6.6%</w:t>
                  </w:r>
                </w:p>
              </w:tc>
            </w:tr>
            <w:tr w14:paraId="06F7F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14924C6D">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编号</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34FC9D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D3A9D1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4657F70">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D032B71">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9090021">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ADCF8D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99C489F">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55FC5600">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439A421">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r>
            <w:tr w14:paraId="2D11D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4284BE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下浮率k</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D89562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8BB7B0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35DCEC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76BC32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1D618D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811EE0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7.8%</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B0687B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038E995F">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D387CD0">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8.4%</w:t>
                  </w:r>
                </w:p>
              </w:tc>
            </w:tr>
            <w:tr w14:paraId="4A49E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2B3AAC59">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编号</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1A7847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51DA721">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A5451D6">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74A6A3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63CB82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D6D72BF">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B800AD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0138AF7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5B8E44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r>
            <w:tr w14:paraId="64B9E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0EA33ED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下浮率k</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A5AB07A">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F7E12D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8.8%</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240E29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2E18CC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DEF1B09">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B1DBFAA">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B985DF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9.8%</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1D81559A">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000D05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bl>
          <w:p w14:paraId="7799EF49">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p>
        </w:tc>
      </w:tr>
      <w:tr w14:paraId="61892DBA">
        <w:tblPrEx>
          <w:tblCellMar>
            <w:top w:w="0" w:type="dxa"/>
            <w:left w:w="108" w:type="dxa"/>
            <w:bottom w:w="0" w:type="dxa"/>
            <w:right w:w="108" w:type="dxa"/>
          </w:tblCellMar>
        </w:tblPrEx>
        <w:trPr>
          <w:trHeight w:val="603"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D7F9FD3">
            <w:pPr>
              <w:keepNext w:val="0"/>
              <w:keepLines w:val="0"/>
              <w:pageBreakBefore w:val="0"/>
              <w:kinsoku/>
              <w:wordWrap/>
              <w:overflowPunct/>
              <w:topLinePunct w:val="0"/>
              <w:autoSpaceDE/>
              <w:autoSpaceDN/>
              <w:bidi w:val="0"/>
              <w:adjustRightInd/>
              <w:snapToGrid/>
              <w:spacing w:afterLines="0" w:line="312" w:lineRule="auto"/>
              <w:ind w:right="0"/>
              <w:jc w:val="both"/>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10.10</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68C58E39">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偏离扣分分值 F1 值的确定：招标人通过</w:t>
            </w:r>
            <w:r>
              <w:rPr>
                <w:rFonts w:hint="eastAsia" w:ascii="宋体" w:hAnsi="宋体" w:eastAsia="宋体" w:cs="宋体"/>
                <w:color w:val="auto"/>
                <w:szCs w:val="21"/>
                <w:highlight w:val="none"/>
                <w:lang w:val="en-US" w:eastAsia="zh-CN"/>
              </w:rPr>
              <w:t>摇珠</w:t>
            </w:r>
            <w:r>
              <w:rPr>
                <w:rFonts w:hint="eastAsia" w:ascii="宋体" w:hAnsi="宋体" w:eastAsia="宋体" w:cs="宋体"/>
                <w:color w:val="auto"/>
                <w:szCs w:val="21"/>
                <w:highlight w:val="none"/>
              </w:rPr>
              <w:t>方式，从0.4至0.8（以0.05递增）中抽取产生F1值</w:t>
            </w:r>
            <w:r>
              <w:rPr>
                <w:rFonts w:hint="eastAsia" w:ascii="宋体" w:hAnsi="宋体" w:eastAsia="宋体" w:cs="宋体"/>
                <w:color w:val="auto"/>
                <w:szCs w:val="21"/>
                <w:highlight w:val="none"/>
                <w:lang w:eastAsia="zh-CN"/>
              </w:rPr>
              <w:t>。偏离扣分分值 F1 取值与对应摇珠编号如下表：</w:t>
            </w:r>
          </w:p>
          <w:tbl>
            <w:tblPr>
              <w:tblStyle w:val="17"/>
              <w:tblW w:w="0" w:type="auto"/>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96"/>
              <w:gridCol w:w="546"/>
              <w:gridCol w:w="656"/>
              <w:gridCol w:w="546"/>
              <w:gridCol w:w="656"/>
              <w:gridCol w:w="546"/>
              <w:gridCol w:w="656"/>
              <w:gridCol w:w="546"/>
              <w:gridCol w:w="656"/>
              <w:gridCol w:w="546"/>
            </w:tblGrid>
            <w:tr w14:paraId="00617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96" w:type="dxa"/>
                  <w:tcBorders>
                    <w:top w:val="single" w:color="000000" w:sz="4" w:space="0"/>
                    <w:left w:val="single" w:color="000000" w:sz="4" w:space="0"/>
                    <w:bottom w:val="single" w:color="000000" w:sz="4" w:space="0"/>
                    <w:right w:val="single" w:color="000000" w:sz="4" w:space="0"/>
                  </w:tcBorders>
                  <w:noWrap w:val="0"/>
                  <w:vAlign w:val="center"/>
                </w:tcPr>
                <w:p w14:paraId="6FC89C1F">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编号</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03CA1DE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31BF90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53BCA96B">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0D69E33">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11E5F6EB">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62F783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277F307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082DF3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645BD320">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r>
            <w:tr w14:paraId="6E88A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196" w:type="dxa"/>
                  <w:tcBorders>
                    <w:top w:val="single" w:color="000000" w:sz="4" w:space="0"/>
                    <w:left w:val="single" w:color="000000" w:sz="4" w:space="0"/>
                    <w:bottom w:val="single" w:color="000000" w:sz="4" w:space="0"/>
                    <w:right w:val="single" w:color="000000" w:sz="4" w:space="0"/>
                  </w:tcBorders>
                  <w:noWrap w:val="0"/>
                  <w:vAlign w:val="center"/>
                </w:tcPr>
                <w:p w14:paraId="28039E20">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偏离扣分分值（F1）</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47E37F49">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0427CE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0.45</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7B85F977">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0.5</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1A4A22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0.55</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5451F5E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8CB48F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0.65</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4FD6A989">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0.7</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B4F1B9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0.75</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2297FDA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0.8</w:t>
                  </w:r>
                </w:p>
              </w:tc>
            </w:tr>
          </w:tbl>
          <w:p w14:paraId="157F4F40">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olor w:val="auto"/>
                <w:sz w:val="21"/>
                <w:szCs w:val="21"/>
                <w:highlight w:val="none"/>
                <w:lang w:val="en-US" w:eastAsia="zh-CN"/>
              </w:rPr>
            </w:pPr>
          </w:p>
        </w:tc>
      </w:tr>
    </w:tbl>
    <w:p w14:paraId="44596BA5">
      <w:pPr>
        <w:pageBreakBefore w:val="0"/>
        <w:overflowPunct/>
        <w:bidi w:val="0"/>
        <w:spacing w:line="320" w:lineRule="exact"/>
        <w:ind w:left="1054" w:leftChars="0" w:right="0" w:hanging="1054" w:hangingChars="5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 xml:space="preserve"> </w:t>
      </w:r>
      <w:r>
        <w:rPr>
          <w:rFonts w:hint="eastAsia" w:ascii="宋体" w:hAnsi="宋体" w:eastAsia="宋体" w:cs="宋体"/>
          <w:b/>
          <w:color w:val="auto"/>
          <w:sz w:val="21"/>
          <w:szCs w:val="21"/>
          <w:highlight w:val="none"/>
        </w:rPr>
        <w:t>本表内容须与投标人须知正文对应条款的内容一起阅读理解，如有不一致且不互相解释的内容时，以本表内容为准。</w:t>
      </w:r>
    </w:p>
    <w:p w14:paraId="249053AD">
      <w:pPr>
        <w:pageBreakBefore w:val="0"/>
        <w:numPr>
          <w:ilvl w:val="0"/>
          <w:numId w:val="0"/>
        </w:numPr>
        <w:overflowPunct/>
        <w:bidi w:val="0"/>
        <w:spacing w:line="320" w:lineRule="exact"/>
        <w:ind w:left="1111" w:leftChars="228" w:right="0" w:hanging="632" w:hangingChars="300"/>
        <w:outlineLvl w:val="9"/>
        <w:rPr>
          <w:rFonts w:hint="eastAsia" w:ascii="宋体" w:hAnsi="宋体" w:eastAsia="宋体" w:cs="宋体"/>
          <w:b/>
          <w:color w:val="auto"/>
          <w:sz w:val="21"/>
          <w:szCs w:val="21"/>
          <w:highlight w:val="none"/>
        </w:rPr>
      </w:pPr>
      <w:r>
        <w:rPr>
          <w:rFonts w:hint="eastAsia" w:ascii="宋体" w:hAnsi="宋体" w:eastAsia="宋体" w:cs="宋体"/>
          <w:b/>
          <w:bCs/>
          <w:color w:val="auto"/>
          <w:kern w:val="2"/>
          <w:sz w:val="21"/>
          <w:szCs w:val="21"/>
          <w:highlight w:val="none"/>
          <w:lang w:val="en-US" w:eastAsia="zh-CN" w:bidi="ar-SA"/>
        </w:rPr>
        <w:t xml:space="preserve">（2） </w:t>
      </w:r>
      <w:r>
        <w:rPr>
          <w:rFonts w:hint="eastAsia" w:ascii="宋体" w:hAnsi="宋体" w:eastAsia="宋体" w:cs="宋体"/>
          <w:b/>
          <w:bCs w:val="0"/>
          <w:color w:val="auto"/>
          <w:sz w:val="21"/>
          <w:szCs w:val="21"/>
          <w:highlight w:val="none"/>
          <w:lang w:val="en-US" w:eastAsia="zh-CN"/>
        </w:rPr>
        <w:t>对招标文件其余内容如需进行补充、删除或修改的，应统一写入投标人须知前附表，并注 明  是对招标文件何部分的何章何节何条款进行的补充 、删除或修改。</w:t>
      </w:r>
    </w:p>
    <w:p w14:paraId="6881C8FB">
      <w:pPr>
        <w:pageBreakBefore w:val="0"/>
        <w:overflowPunct/>
        <w:bidi w:val="0"/>
        <w:spacing w:before="65" w:line="226" w:lineRule="auto"/>
        <w:ind w:left="0" w:leftChars="0" w:right="0" w:firstLine="0" w:firstLineChars="0"/>
        <w:rPr>
          <w:rFonts w:ascii="黑体" w:hAnsi="黑体" w:eastAsia="黑体" w:cs="黑体"/>
          <w:b/>
          <w:bCs/>
          <w:color w:val="auto"/>
          <w:spacing w:val="6"/>
          <w:sz w:val="31"/>
          <w:szCs w:val="31"/>
          <w:highlight w:val="none"/>
        </w:rPr>
      </w:pPr>
    </w:p>
    <w:p w14:paraId="07387474">
      <w:pPr>
        <w:pageBreakBefore w:val="0"/>
        <w:overflowPunct/>
        <w:bidi w:val="0"/>
        <w:spacing w:before="65" w:line="226" w:lineRule="auto"/>
        <w:ind w:left="0" w:leftChars="0" w:right="0" w:firstLine="0" w:firstLineChars="0"/>
        <w:rPr>
          <w:rFonts w:ascii="黑体" w:hAnsi="黑体" w:eastAsia="黑体" w:cs="黑体"/>
          <w:b/>
          <w:bCs/>
          <w:color w:val="auto"/>
          <w:spacing w:val="6"/>
          <w:sz w:val="31"/>
          <w:szCs w:val="31"/>
          <w:highlight w:val="none"/>
        </w:rPr>
        <w:sectPr>
          <w:footerReference r:id="rId8" w:type="default"/>
          <w:pgSz w:w="11906" w:h="16839"/>
          <w:pgMar w:top="1222" w:right="1134" w:bottom="1048" w:left="1134" w:header="0" w:footer="886" w:gutter="0"/>
          <w:pgNumType w:fmt="decimal"/>
          <w:cols w:space="720" w:num="1"/>
        </w:sectPr>
      </w:pPr>
    </w:p>
    <w:p w14:paraId="3739098F">
      <w:pPr>
        <w:pStyle w:val="5"/>
        <w:pageBreakBefore w:val="0"/>
        <w:overflowPunct/>
        <w:bidi w:val="0"/>
        <w:spacing w:line="240" w:lineRule="auto"/>
        <w:ind w:right="0" w:firstLine="0" w:firstLineChars="0"/>
        <w:jc w:val="center"/>
        <w:outlineLvl w:val="1"/>
        <w:rPr>
          <w:rFonts w:hint="eastAsia"/>
          <w:color w:val="auto"/>
          <w:highlight w:val="none"/>
        </w:rPr>
      </w:pPr>
      <w:bookmarkStart w:id="58" w:name="_Toc1236"/>
      <w:bookmarkStart w:id="59" w:name="_Toc21675"/>
      <w:bookmarkStart w:id="60" w:name="_Toc437960985"/>
      <w:bookmarkStart w:id="61" w:name="_Toc179632546"/>
      <w:r>
        <w:rPr>
          <w:rFonts w:hint="eastAsia" w:ascii="Times New Roman" w:hAnsi="Times New Roman" w:eastAsia="黑体" w:cs="Times New Roman"/>
          <w:color w:val="auto"/>
          <w:kern w:val="32"/>
          <w:szCs w:val="40"/>
          <w:highlight w:val="none"/>
        </w:rPr>
        <w:t>投标人须知正文</w:t>
      </w:r>
      <w:bookmarkEnd w:id="58"/>
      <w:bookmarkEnd w:id="59"/>
      <w:bookmarkEnd w:id="60"/>
    </w:p>
    <w:p w14:paraId="21DC5644">
      <w:pPr>
        <w:pStyle w:val="6"/>
        <w:pageBreakBefore w:val="0"/>
        <w:wordWrap/>
        <w:overflowPunct/>
        <w:topLinePunct w:val="0"/>
        <w:bidi w:val="0"/>
        <w:spacing w:beforeLines="0" w:afterLines="0" w:line="400" w:lineRule="exact"/>
        <w:ind w:right="0"/>
        <w:outlineLvl w:val="2"/>
        <w:rPr>
          <w:rFonts w:hint="eastAsia" w:ascii="宋体" w:hAnsi="宋体" w:eastAsia="宋体" w:cs="宋体"/>
          <w:color w:val="auto"/>
          <w:sz w:val="22"/>
          <w:szCs w:val="22"/>
          <w:highlight w:val="none"/>
        </w:rPr>
      </w:pPr>
      <w:bookmarkStart w:id="62" w:name="_Toc30002"/>
      <w:bookmarkStart w:id="63" w:name="_Toc32633"/>
      <w:bookmarkStart w:id="64" w:name="_Toc437960986"/>
      <w:r>
        <w:rPr>
          <w:rFonts w:hint="eastAsia" w:ascii="宋体" w:hAnsi="宋体" w:eastAsia="宋体" w:cs="宋体"/>
          <w:color w:val="auto"/>
          <w:sz w:val="22"/>
          <w:szCs w:val="22"/>
          <w:highlight w:val="none"/>
        </w:rPr>
        <w:t>1.总则</w:t>
      </w:r>
    </w:p>
    <w:p w14:paraId="6F05DF6D">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 工程概况</w:t>
      </w:r>
    </w:p>
    <w:p w14:paraId="4086DD80">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根据《中华人民共和国招标投标法》《中华人民共和国招标投标法</w:t>
      </w:r>
      <w:r>
        <w:rPr>
          <w:rFonts w:hint="eastAsia" w:ascii="宋体" w:hAnsi="宋体" w:eastAsia="宋体" w:cs="宋体"/>
          <w:color w:val="auto"/>
          <w:sz w:val="21"/>
          <w:szCs w:val="21"/>
          <w:highlight w:val="none"/>
          <w:lang w:val="en-US" w:eastAsia="zh-CN"/>
        </w:rPr>
        <w:t>实施条例</w:t>
      </w:r>
      <w:r>
        <w:rPr>
          <w:rFonts w:hint="eastAsia" w:ascii="宋体" w:hAnsi="宋体" w:eastAsia="宋体" w:cs="宋体"/>
          <w:color w:val="auto"/>
          <w:sz w:val="21"/>
          <w:szCs w:val="21"/>
          <w:highlight w:val="none"/>
        </w:rPr>
        <w:t>》等有关法律、法规和规章的规定，本</w:t>
      </w:r>
      <w:r>
        <w:rPr>
          <w:rFonts w:hint="eastAsia" w:ascii="宋体" w:hAnsi="宋体" w:eastAsia="宋体" w:cs="宋体"/>
          <w:color w:val="auto"/>
          <w:sz w:val="21"/>
          <w:szCs w:val="21"/>
          <w:highlight w:val="none"/>
          <w:lang w:val="en-US" w:eastAsia="zh-CN"/>
        </w:rPr>
        <w:t>招标项目</w:t>
      </w:r>
      <w:r>
        <w:rPr>
          <w:rFonts w:hint="eastAsia" w:ascii="宋体" w:hAnsi="宋体" w:eastAsia="宋体" w:cs="宋体"/>
          <w:color w:val="auto"/>
          <w:sz w:val="21"/>
          <w:szCs w:val="21"/>
          <w:highlight w:val="none"/>
        </w:rPr>
        <w:t>已具备招标条件，现进行招标。</w:t>
      </w:r>
    </w:p>
    <w:p w14:paraId="1EF344B5">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招标人：见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74C1298F">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招标代理机构：见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618C0CFD">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 招标项目名称：见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26E746FB">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 招标项目建设地点：见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7E35FD44">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招标项目建设</w:t>
      </w:r>
      <w:r>
        <w:rPr>
          <w:rFonts w:hint="eastAsia" w:ascii="宋体" w:hAnsi="宋体" w:eastAsia="宋体" w:cs="宋体"/>
          <w:color w:val="auto"/>
          <w:sz w:val="21"/>
          <w:szCs w:val="21"/>
          <w:highlight w:val="none"/>
          <w:lang w:val="en-US" w:eastAsia="zh-CN"/>
        </w:rPr>
        <w:t>规模</w:t>
      </w:r>
      <w:r>
        <w:rPr>
          <w:rFonts w:hint="eastAsia" w:ascii="宋体" w:hAnsi="宋体" w:eastAsia="宋体" w:cs="宋体"/>
          <w:color w:val="auto"/>
          <w:sz w:val="21"/>
          <w:szCs w:val="21"/>
          <w:highlight w:val="none"/>
        </w:rPr>
        <w:t>：见招标公告。</w:t>
      </w:r>
    </w:p>
    <w:p w14:paraId="1FFC413A">
      <w:pPr>
        <w:pStyle w:val="35"/>
        <w:pageBreakBefore w:val="0"/>
        <w:wordWrap/>
        <w:overflowPunct/>
        <w:topLinePunct w:val="0"/>
        <w:bidi w:val="0"/>
        <w:spacing w:line="400" w:lineRule="exact"/>
        <w:ind w:right="0"/>
        <w:outlineLvl w:val="9"/>
        <w:rPr>
          <w:rFonts w:hint="eastAsia" w:ascii="宋体" w:hAnsi="宋体" w:eastAsia="宋体" w:cs="宋体"/>
          <w:b/>
          <w:bCs/>
          <w:color w:val="auto"/>
          <w:kern w:val="2"/>
          <w:sz w:val="28"/>
          <w:szCs w:val="28"/>
          <w:highlight w:val="none"/>
          <w:lang w:val="en-US" w:eastAsia="zh-CN" w:bidi="ar-SA"/>
        </w:rPr>
      </w:pPr>
    </w:p>
    <w:p w14:paraId="19D0DF59">
      <w:pPr>
        <w:pStyle w:val="7"/>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1.2 资金来源和落实情况</w:t>
      </w:r>
    </w:p>
    <w:p w14:paraId="179BD056">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 资金来源：见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3FCCAB87">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 出资比例：见投标人须知前附表。</w:t>
      </w:r>
    </w:p>
    <w:p w14:paraId="64020CBD">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 资金落实情况：见投标人须知前附表。</w:t>
      </w:r>
    </w:p>
    <w:p w14:paraId="1CC2F012">
      <w:pPr>
        <w:pStyle w:val="35"/>
        <w:pageBreakBefore w:val="0"/>
        <w:wordWrap/>
        <w:overflowPunct/>
        <w:topLinePunct w:val="0"/>
        <w:bidi w:val="0"/>
        <w:spacing w:line="400" w:lineRule="exact"/>
        <w:ind w:right="0"/>
        <w:outlineLvl w:val="9"/>
        <w:rPr>
          <w:rFonts w:hint="eastAsia" w:ascii="宋体" w:hAnsi="宋体" w:eastAsia="宋体" w:cs="宋体"/>
          <w:b/>
          <w:bCs/>
          <w:color w:val="auto"/>
          <w:kern w:val="2"/>
          <w:sz w:val="28"/>
          <w:szCs w:val="28"/>
          <w:highlight w:val="none"/>
          <w:lang w:val="en-US" w:eastAsia="zh-CN" w:bidi="ar-SA"/>
        </w:rPr>
      </w:pPr>
    </w:p>
    <w:p w14:paraId="57CF4FDD">
      <w:pPr>
        <w:pStyle w:val="7"/>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1.3 招标范围、服务期、承包方式、质量要求</w:t>
      </w:r>
    </w:p>
    <w:p w14:paraId="4478F011">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 招标范围：见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0BAA3EF1">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 服务期：见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20E03433">
      <w:pPr>
        <w:pageBreakBefore w:val="0"/>
        <w:wordWrap/>
        <w:overflowPunct/>
        <w:topLinePunct w:val="0"/>
        <w:bidi w:val="0"/>
        <w:spacing w:beforeLines="0" w:afterLines="0" w:line="400" w:lineRule="exact"/>
        <w:ind w:right="0"/>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1.3.3 </w:t>
      </w:r>
      <w:r>
        <w:rPr>
          <w:rFonts w:hint="eastAsia" w:ascii="宋体" w:hAnsi="宋体" w:cs="宋体"/>
          <w:color w:val="auto"/>
          <w:sz w:val="21"/>
          <w:szCs w:val="21"/>
          <w:highlight w:val="none"/>
        </w:rPr>
        <w:t>承包方式：见</w:t>
      </w:r>
      <w:r>
        <w:rPr>
          <w:rFonts w:hint="eastAsia" w:ascii="宋体" w:hAnsi="宋体" w:cs="宋体"/>
          <w:color w:val="auto"/>
          <w:sz w:val="21"/>
          <w:szCs w:val="21"/>
          <w:highlight w:val="none"/>
          <w:lang w:eastAsia="zh-CN"/>
        </w:rPr>
        <w:t>招标公告</w:t>
      </w:r>
      <w:r>
        <w:rPr>
          <w:rFonts w:hint="eastAsia" w:ascii="宋体" w:hAnsi="宋体" w:cs="宋体"/>
          <w:color w:val="auto"/>
          <w:sz w:val="21"/>
          <w:szCs w:val="21"/>
          <w:highlight w:val="none"/>
        </w:rPr>
        <w:t>。</w:t>
      </w:r>
    </w:p>
    <w:p w14:paraId="0D25BE18">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质量要求：见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2357C68F">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1.3.5 </w:t>
      </w:r>
      <w:r>
        <w:rPr>
          <w:rFonts w:hint="eastAsia" w:ascii="宋体" w:hAnsi="宋体"/>
          <w:color w:val="auto"/>
          <w:szCs w:val="21"/>
          <w:highlight w:val="none"/>
        </w:rPr>
        <w:t>安全目标</w:t>
      </w:r>
      <w:r>
        <w:rPr>
          <w:rFonts w:hint="eastAsia" w:ascii="宋体" w:hAnsi="宋体"/>
          <w:color w:val="auto"/>
          <w:szCs w:val="21"/>
          <w:highlight w:val="none"/>
          <w:lang w:eastAsia="zh-CN"/>
        </w:rPr>
        <w:t>：</w:t>
      </w:r>
      <w:r>
        <w:rPr>
          <w:rFonts w:hint="eastAsia" w:ascii="宋体" w:hAnsi="宋体" w:eastAsia="宋体" w:cs="宋体"/>
          <w:color w:val="auto"/>
          <w:sz w:val="21"/>
          <w:szCs w:val="21"/>
          <w:highlight w:val="none"/>
        </w:rPr>
        <w:t>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70D28E39">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370C92B0">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1.4 投标人资格要求</w:t>
      </w:r>
    </w:p>
    <w:p w14:paraId="6077A635">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1.4.1 投标人应具备承担</w:t>
      </w:r>
      <w:r>
        <w:rPr>
          <w:rFonts w:hint="eastAsia" w:ascii="宋体" w:hAnsi="宋体" w:eastAsia="宋体" w:cs="宋体"/>
          <w:color w:val="auto"/>
          <w:sz w:val="21"/>
          <w:szCs w:val="21"/>
          <w:highlight w:val="none"/>
          <w:lang w:eastAsia="zh-CN"/>
        </w:rPr>
        <w:t>本招标项目</w:t>
      </w:r>
      <w:r>
        <w:rPr>
          <w:rFonts w:hint="eastAsia" w:ascii="宋体" w:hAnsi="宋体" w:eastAsia="宋体" w:cs="宋体"/>
          <w:color w:val="auto"/>
          <w:sz w:val="21"/>
          <w:szCs w:val="21"/>
          <w:highlight w:val="none"/>
        </w:rPr>
        <w:t>的资质条件、能力和信誉，</w:t>
      </w:r>
      <w:r>
        <w:rPr>
          <w:rFonts w:hint="eastAsia" w:ascii="宋体" w:hAnsi="宋体" w:eastAsia="宋体" w:cs="宋体"/>
          <w:b/>
          <w:color w:val="auto"/>
          <w:sz w:val="21"/>
          <w:szCs w:val="21"/>
          <w:highlight w:val="none"/>
        </w:rPr>
        <w:t>详见</w:t>
      </w:r>
      <w:r>
        <w:rPr>
          <w:rFonts w:hint="eastAsia" w:ascii="宋体" w:hAnsi="宋体" w:eastAsia="宋体" w:cs="宋体"/>
          <w:b/>
          <w:color w:val="auto"/>
          <w:sz w:val="21"/>
          <w:szCs w:val="21"/>
          <w:highlight w:val="none"/>
          <w:lang w:eastAsia="zh-CN"/>
        </w:rPr>
        <w:t>本招标项目</w:t>
      </w:r>
      <w:r>
        <w:rPr>
          <w:rFonts w:hint="eastAsia" w:ascii="宋体" w:hAnsi="宋体" w:eastAsia="宋体" w:cs="宋体"/>
          <w:b/>
          <w:color w:val="auto"/>
          <w:sz w:val="21"/>
          <w:szCs w:val="21"/>
          <w:highlight w:val="none"/>
        </w:rPr>
        <w:t>招标公告</w:t>
      </w:r>
      <w:r>
        <w:rPr>
          <w:rFonts w:hint="eastAsia" w:ascii="宋体" w:hAnsi="宋体" w:eastAsia="宋体" w:cs="宋体"/>
          <w:color w:val="auto"/>
          <w:sz w:val="21"/>
          <w:szCs w:val="21"/>
          <w:highlight w:val="none"/>
        </w:rPr>
        <w:t>。</w:t>
      </w:r>
    </w:p>
    <w:p w14:paraId="3D7D1ED0">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 xml:space="preserve">1.4.2 </w:t>
      </w:r>
      <w:r>
        <w:rPr>
          <w:rFonts w:hint="eastAsia" w:ascii="宋体" w:hAnsi="宋体" w:cs="宋体"/>
          <w:color w:val="auto"/>
          <w:sz w:val="21"/>
          <w:szCs w:val="21"/>
          <w:highlight w:val="none"/>
          <w:lang w:eastAsia="zh-CN"/>
        </w:rPr>
        <w:t>如本招标项目招标公告</w:t>
      </w:r>
      <w:r>
        <w:rPr>
          <w:rFonts w:hint="eastAsia" w:ascii="宋体" w:hAnsi="宋体" w:cs="宋体"/>
          <w:color w:val="auto"/>
          <w:sz w:val="21"/>
          <w:szCs w:val="21"/>
          <w:highlight w:val="none"/>
        </w:rPr>
        <w:t>规定接受联合体投标的，应符合本章第1.4.1项和投标人须知前附表的要求。</w:t>
      </w:r>
    </w:p>
    <w:p w14:paraId="73C15B7C">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 投标人不得存在下列情形之一：</w:t>
      </w:r>
    </w:p>
    <w:p w14:paraId="70526915">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（1）为招标人不具有独立法人资格（含事务所性质）的附属机构（单位）；</w:t>
      </w:r>
    </w:p>
    <w:p w14:paraId="6580F800">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（2）与招标人存在利害关系且可能影响招标公正性；</w:t>
      </w:r>
    </w:p>
    <w:p w14:paraId="7AF6C7FC">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（3）与本招标项目的其他投标人为同一个单位负责人；</w:t>
      </w:r>
    </w:p>
    <w:p w14:paraId="003840E3">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（4）与本招标项目的其他投标人存在控股、管理关系；</w:t>
      </w:r>
    </w:p>
    <w:p w14:paraId="21A1B39D">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（5）为本招标项目的代建人；</w:t>
      </w:r>
    </w:p>
    <w:p w14:paraId="0A38FE1B">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（6）为本招标项目的招标代理机构；</w:t>
      </w:r>
    </w:p>
    <w:p w14:paraId="2AF7887F">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（7）与本招标项目的代建人或招标代理机构同为一个法定代表人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单位负责人、实际控制人</w:t>
      </w:r>
      <w:r>
        <w:rPr>
          <w:rFonts w:hint="eastAsia" w:ascii="宋体" w:hAnsi="宋体" w:eastAsia="宋体" w:cs="宋体"/>
          <w:color w:val="auto"/>
          <w:sz w:val="21"/>
          <w:szCs w:val="21"/>
          <w:highlight w:val="none"/>
        </w:rPr>
        <w:t>的；</w:t>
      </w:r>
    </w:p>
    <w:p w14:paraId="4AB4F491">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（8）与本招标项目的代建人或招标代理机构</w:t>
      </w:r>
      <w:r>
        <w:rPr>
          <w:rFonts w:hint="eastAsia" w:ascii="宋体" w:hAnsi="宋体" w:cs="宋体"/>
          <w:color w:val="auto"/>
          <w:sz w:val="21"/>
          <w:szCs w:val="21"/>
          <w:highlight w:val="none"/>
        </w:rPr>
        <w:t>相互控股或参股</w:t>
      </w:r>
      <w:r>
        <w:rPr>
          <w:rFonts w:hint="eastAsia" w:ascii="宋体" w:hAnsi="宋体" w:cs="宋体"/>
          <w:color w:val="auto"/>
          <w:sz w:val="21"/>
          <w:szCs w:val="21"/>
          <w:highlight w:val="none"/>
          <w:lang w:val="en-US" w:eastAsia="zh-CN"/>
        </w:rPr>
        <w:t>的</w:t>
      </w:r>
      <w:r>
        <w:rPr>
          <w:rFonts w:hint="eastAsia" w:ascii="宋体" w:hAnsi="宋体" w:eastAsia="宋体" w:cs="宋体"/>
          <w:color w:val="auto"/>
          <w:sz w:val="21"/>
          <w:szCs w:val="21"/>
          <w:highlight w:val="none"/>
          <w:lang w:eastAsia="zh-CN"/>
        </w:rPr>
        <w:t>；</w:t>
      </w:r>
    </w:p>
    <w:p w14:paraId="184D3B67">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与本招标项目的代建人或招标代理机构相互任职或工作的</w:t>
      </w:r>
      <w:r>
        <w:rPr>
          <w:rFonts w:hint="eastAsia" w:ascii="宋体" w:hAnsi="宋体" w:eastAsia="宋体" w:cs="宋体"/>
          <w:color w:val="auto"/>
          <w:sz w:val="21"/>
          <w:szCs w:val="21"/>
          <w:highlight w:val="none"/>
          <w:lang w:val="en-US" w:eastAsia="zh-CN"/>
        </w:rPr>
        <w:t>。</w:t>
      </w:r>
    </w:p>
    <w:p w14:paraId="5A3D1F98">
      <w:pPr>
        <w:pageBreakBefore w:val="0"/>
        <w:wordWrap/>
        <w:overflowPunct/>
        <w:topLinePunct w:val="0"/>
        <w:bidi w:val="0"/>
        <w:spacing w:beforeLines="0" w:afterLines="0" w:line="400" w:lineRule="exact"/>
        <w:ind w:right="0" w:firstLine="843" w:firstLineChars="300"/>
        <w:rPr>
          <w:rFonts w:hint="eastAsia" w:ascii="宋体" w:hAnsi="宋体" w:eastAsia="宋体" w:cs="宋体"/>
          <w:b/>
          <w:bCs/>
          <w:color w:val="auto"/>
          <w:kern w:val="2"/>
          <w:sz w:val="28"/>
          <w:szCs w:val="28"/>
          <w:highlight w:val="none"/>
          <w:lang w:val="en-US" w:eastAsia="zh-CN" w:bidi="ar-SA"/>
        </w:rPr>
      </w:pPr>
    </w:p>
    <w:p w14:paraId="5B075411">
      <w:pPr>
        <w:pStyle w:val="7"/>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1.5 费用承担</w:t>
      </w:r>
    </w:p>
    <w:p w14:paraId="0DF114CC">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投标人准备和参加投标活动发生的费用自理。</w:t>
      </w:r>
    </w:p>
    <w:p w14:paraId="005A9C36">
      <w:pPr>
        <w:pStyle w:val="35"/>
        <w:pageBreakBefore w:val="0"/>
        <w:wordWrap/>
        <w:overflowPunct/>
        <w:topLinePunct w:val="0"/>
        <w:bidi w:val="0"/>
        <w:spacing w:line="400" w:lineRule="exact"/>
        <w:ind w:right="0"/>
        <w:outlineLvl w:val="9"/>
        <w:rPr>
          <w:rFonts w:hint="eastAsia" w:ascii="宋体" w:hAnsi="宋体" w:eastAsia="宋体" w:cs="宋体"/>
          <w:b/>
          <w:bCs/>
          <w:color w:val="auto"/>
          <w:kern w:val="2"/>
          <w:sz w:val="28"/>
          <w:szCs w:val="28"/>
          <w:highlight w:val="none"/>
          <w:lang w:val="en-US" w:eastAsia="zh-CN" w:bidi="ar-SA"/>
        </w:rPr>
      </w:pPr>
    </w:p>
    <w:p w14:paraId="7F334177">
      <w:pPr>
        <w:pStyle w:val="7"/>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1.6 保密</w:t>
      </w:r>
    </w:p>
    <w:p w14:paraId="245AB456">
      <w:pPr>
        <w:pageBreakBefore w:val="0"/>
        <w:wordWrap/>
        <w:overflowPunct/>
        <w:topLinePunct w:val="0"/>
        <w:bidi w:val="0"/>
        <w:spacing w:beforeLines="0" w:afterLines="0" w:line="400" w:lineRule="exact"/>
        <w:ind w:left="479" w:leftChars="228"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参与招标投标活动的各方应对招标文件和投标文件中的商业和技术等秘密保密，违者应对由此造成的后果承担法律责任。 </w:t>
      </w:r>
    </w:p>
    <w:p w14:paraId="14090087">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4D7D4851">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 语言文字</w:t>
      </w:r>
    </w:p>
    <w:p w14:paraId="07627897">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招标文件、投标文件和与投标文件有关的所有文件均应使用中文。专用术语使用外文的，应附有中文注释。</w:t>
      </w:r>
    </w:p>
    <w:p w14:paraId="2888E419">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75C42F00">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1.8 计量单位</w:t>
      </w:r>
    </w:p>
    <w:p w14:paraId="3EB8A959">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除工程规范另有规定外，招标文件和投标文件所有计量均采用中华人民共和国法定计量单位。</w:t>
      </w:r>
    </w:p>
    <w:p w14:paraId="0E3847DB">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5FFD4354">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1.9 踏勘现场</w:t>
      </w:r>
    </w:p>
    <w:p w14:paraId="514E9B55">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不统一组织踏勘现场，投标人可根据需要自行到项目现场进行踏勘。 </w:t>
      </w:r>
    </w:p>
    <w:p w14:paraId="5E586B5D">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 投标人踏勘现场发生的费用自理。</w:t>
      </w:r>
    </w:p>
    <w:p w14:paraId="279E16C2">
      <w:pPr>
        <w:pStyle w:val="35"/>
        <w:pageBreakBefore w:val="0"/>
        <w:wordWrap/>
        <w:overflowPunct/>
        <w:topLinePunct w:val="0"/>
        <w:bidi w:val="0"/>
        <w:spacing w:line="400" w:lineRule="exact"/>
        <w:ind w:right="0"/>
        <w:outlineLvl w:val="9"/>
        <w:rPr>
          <w:rFonts w:hint="eastAsia" w:ascii="宋体" w:hAnsi="宋体" w:eastAsia="宋体" w:cs="宋体"/>
          <w:b/>
          <w:bCs/>
          <w:color w:val="auto"/>
          <w:kern w:val="2"/>
          <w:sz w:val="28"/>
          <w:szCs w:val="28"/>
          <w:highlight w:val="none"/>
          <w:lang w:val="en-US" w:eastAsia="zh-CN" w:bidi="ar-SA"/>
        </w:rPr>
      </w:pPr>
    </w:p>
    <w:p w14:paraId="61173842">
      <w:pPr>
        <w:pStyle w:val="7"/>
        <w:pageBreakBefore w:val="0"/>
        <w:wordWrap/>
        <w:overflowPunct/>
        <w:topLinePunct w:val="0"/>
        <w:bidi w:val="0"/>
        <w:spacing w:beforeLines="0" w:afterLines="0" w:line="400" w:lineRule="exact"/>
        <w:ind w:right="0"/>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2"/>
          <w:szCs w:val="22"/>
          <w:highlight w:val="none"/>
          <w:lang w:val="en-US" w:eastAsia="zh-CN" w:bidi="ar-SA"/>
        </w:rPr>
        <w:t>1.10 投标预备会</w:t>
      </w:r>
      <w:r>
        <w:rPr>
          <w:rFonts w:hint="eastAsia" w:ascii="宋体" w:hAnsi="宋体" w:eastAsia="宋体" w:cs="宋体"/>
          <w:b/>
          <w:bCs/>
          <w:color w:val="auto"/>
          <w:kern w:val="2"/>
          <w:sz w:val="28"/>
          <w:szCs w:val="28"/>
          <w:highlight w:val="none"/>
          <w:lang w:val="en-US" w:eastAsia="zh-CN" w:bidi="ar-SA"/>
        </w:rPr>
        <w:t xml:space="preserve"> </w:t>
      </w:r>
    </w:p>
    <w:p w14:paraId="2D1E0CC6">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p w14:paraId="13FFED58">
      <w:pPr>
        <w:pageBreakBefore w:val="0"/>
        <w:wordWrap/>
        <w:overflowPunct/>
        <w:topLinePunct w:val="0"/>
        <w:bidi w:val="0"/>
        <w:spacing w:beforeLines="0" w:afterLines="0" w:line="400" w:lineRule="exact"/>
        <w:ind w:right="0"/>
        <w:rPr>
          <w:rFonts w:hint="eastAsia" w:ascii="宋体" w:hAnsi="宋体" w:eastAsia="宋体" w:cs="宋体"/>
          <w:color w:val="auto"/>
          <w:sz w:val="24"/>
          <w:szCs w:val="20"/>
          <w:highlight w:val="none"/>
        </w:rPr>
      </w:pPr>
    </w:p>
    <w:p w14:paraId="78C46694">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1.11分包</w:t>
      </w:r>
    </w:p>
    <w:p w14:paraId="3FCE025A">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本项目不允许分包。</w:t>
      </w:r>
    </w:p>
    <w:p w14:paraId="74F243E4">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6095472D">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1.12 偏离</w:t>
      </w:r>
    </w:p>
    <w:p w14:paraId="4FF10B65">
      <w:pPr>
        <w:pageBreakBefore w:val="0"/>
        <w:wordWrap/>
        <w:overflowPunct/>
        <w:topLinePunct w:val="0"/>
        <w:bidi w:val="0"/>
        <w:spacing w:beforeLines="0" w:afterLines="0" w:line="400" w:lineRule="exact"/>
        <w:ind w:left="479" w:leftChars="228"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投标人须知前附表允许投标文件偏离招标文件某些要求的，偏离应当符合招标文件规定的偏离范围和幅度。</w:t>
      </w:r>
    </w:p>
    <w:p w14:paraId="69D97647">
      <w:pPr>
        <w:pStyle w:val="36"/>
        <w:pageBreakBefore w:val="0"/>
        <w:wordWrap/>
        <w:overflowPunct/>
        <w:topLinePunct w:val="0"/>
        <w:bidi w:val="0"/>
        <w:spacing w:before="0" w:beforeLines="0" w:line="400" w:lineRule="exact"/>
        <w:ind w:right="0"/>
        <w:outlineLvl w:val="9"/>
        <w:rPr>
          <w:rFonts w:hint="eastAsia" w:ascii="宋体" w:hAnsi="宋体" w:eastAsia="宋体" w:cs="宋体"/>
          <w:color w:val="auto"/>
          <w:highlight w:val="none"/>
        </w:rPr>
      </w:pPr>
    </w:p>
    <w:p w14:paraId="276C5000">
      <w:pPr>
        <w:pStyle w:val="7"/>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2.招标文件</w:t>
      </w:r>
    </w:p>
    <w:p w14:paraId="363929F0">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 招标文件的组成</w:t>
      </w:r>
    </w:p>
    <w:p w14:paraId="6EC375EB">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 本招标文件包括：</w:t>
      </w:r>
    </w:p>
    <w:p w14:paraId="5B3C8580">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（1）投标文件否决性条款摘要；</w:t>
      </w:r>
    </w:p>
    <w:p w14:paraId="73E1F814">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（2）投标无效、中标无效的认定及处理；</w:t>
      </w:r>
    </w:p>
    <w:p w14:paraId="2AE717D5">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）招标公告；</w:t>
      </w:r>
    </w:p>
    <w:p w14:paraId="18CDF45C">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投标人须知；</w:t>
      </w:r>
    </w:p>
    <w:p w14:paraId="7EDB0A85">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评标办法</w:t>
      </w:r>
      <w:r>
        <w:rPr>
          <w:rFonts w:hint="eastAsia" w:ascii="宋体" w:hAnsi="宋体" w:eastAsia="宋体" w:cs="宋体"/>
          <w:color w:val="auto"/>
          <w:sz w:val="21"/>
          <w:szCs w:val="21"/>
          <w:highlight w:val="none"/>
        </w:rPr>
        <w:t>；</w:t>
      </w:r>
    </w:p>
    <w:p w14:paraId="66C9800D">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）合同条款及格式；</w:t>
      </w:r>
    </w:p>
    <w:p w14:paraId="67EA7538">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）投标文件格式；</w:t>
      </w:r>
    </w:p>
    <w:p w14:paraId="018794EB">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w:t>
      </w:r>
      <w:r>
        <w:rPr>
          <w:rFonts w:hint="eastAsia" w:ascii="宋体" w:hAnsi="宋体" w:eastAsia="宋体" w:cs="宋体"/>
          <w:color w:val="auto"/>
          <w:sz w:val="21"/>
          <w:szCs w:val="21"/>
          <w:highlight w:val="none"/>
        </w:rPr>
        <w:t>投标人须知前附表规定的其他材料</w:t>
      </w:r>
      <w:r>
        <w:rPr>
          <w:rFonts w:hint="eastAsia" w:ascii="宋体" w:hAnsi="宋体" w:eastAsia="宋体" w:cs="宋体"/>
          <w:color w:val="auto"/>
          <w:sz w:val="21"/>
          <w:szCs w:val="21"/>
          <w:highlight w:val="none"/>
          <w:lang w:eastAsia="zh-CN"/>
        </w:rPr>
        <w:t>；</w:t>
      </w:r>
    </w:p>
    <w:p w14:paraId="06C5C9BF">
      <w:pPr>
        <w:pStyle w:val="8"/>
        <w:pageBreakBefore w:val="0"/>
        <w:wordWrap/>
        <w:overflowPunct/>
        <w:topLinePunct w:val="0"/>
        <w:bidi w:val="0"/>
        <w:spacing w:beforeLines="0" w:afterLines="0" w:line="400" w:lineRule="exact"/>
        <w:ind w:right="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9）本招标项目发布的</w:t>
      </w:r>
      <w:r>
        <w:rPr>
          <w:rFonts w:hint="eastAsia" w:ascii="宋体" w:hAnsi="宋体" w:eastAsia="宋体" w:cs="宋体"/>
          <w:color w:val="auto"/>
          <w:sz w:val="21"/>
          <w:szCs w:val="21"/>
          <w:highlight w:val="none"/>
          <w:lang w:eastAsia="zh-CN"/>
        </w:rPr>
        <w:t>澄清（答疑）</w:t>
      </w:r>
      <w:r>
        <w:rPr>
          <w:rFonts w:hint="eastAsia" w:ascii="宋体" w:hAnsi="宋体" w:eastAsia="宋体" w:cs="宋体"/>
          <w:color w:val="auto"/>
          <w:sz w:val="21"/>
          <w:szCs w:val="21"/>
          <w:highlight w:val="none"/>
        </w:rPr>
        <w:t>、修改</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补充通知。</w:t>
      </w:r>
    </w:p>
    <w:p w14:paraId="05674354">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根据本章第2.2款和第2.3款对招标文件所作的</w:t>
      </w:r>
      <w:r>
        <w:rPr>
          <w:rFonts w:hint="eastAsia" w:ascii="宋体" w:hAnsi="宋体" w:eastAsia="宋体" w:cs="宋体"/>
          <w:color w:val="auto"/>
          <w:sz w:val="21"/>
          <w:szCs w:val="21"/>
          <w:highlight w:val="none"/>
          <w:lang w:eastAsia="zh-CN"/>
        </w:rPr>
        <w:t>澄清（答疑）</w:t>
      </w:r>
      <w:r>
        <w:rPr>
          <w:rFonts w:hint="eastAsia" w:ascii="宋体" w:hAnsi="宋体" w:eastAsia="宋体" w:cs="宋体"/>
          <w:color w:val="auto"/>
          <w:sz w:val="21"/>
          <w:szCs w:val="21"/>
          <w:highlight w:val="none"/>
        </w:rPr>
        <w:t>、修改、补充，构成招标文件的组成部分。当招标文件、招标文件的</w:t>
      </w:r>
      <w:r>
        <w:rPr>
          <w:rFonts w:hint="eastAsia" w:ascii="宋体" w:hAnsi="宋体" w:eastAsia="宋体" w:cs="宋体"/>
          <w:color w:val="auto"/>
          <w:sz w:val="21"/>
          <w:szCs w:val="21"/>
          <w:highlight w:val="none"/>
          <w:lang w:eastAsia="zh-CN"/>
        </w:rPr>
        <w:t>澄清（答疑）</w:t>
      </w:r>
      <w:r>
        <w:rPr>
          <w:rFonts w:hint="eastAsia" w:ascii="宋体" w:hAnsi="宋体" w:eastAsia="宋体" w:cs="宋体"/>
          <w:color w:val="auto"/>
          <w:sz w:val="21"/>
          <w:szCs w:val="21"/>
          <w:highlight w:val="none"/>
        </w:rPr>
        <w:t>、修改、补充等在同一内容的表述上不一致时，以最后发出的文件为准。</w:t>
      </w:r>
    </w:p>
    <w:p w14:paraId="7EE8B915">
      <w:pPr>
        <w:pStyle w:val="16"/>
        <w:pageBreakBefore w:val="0"/>
        <w:wordWrap/>
        <w:overflowPunct/>
        <w:topLinePunct w:val="0"/>
        <w:bidi w:val="0"/>
        <w:spacing w:beforeLines="0" w:after="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发布招标公告的同时，</w:t>
      </w:r>
      <w:r>
        <w:rPr>
          <w:rFonts w:hint="eastAsia" w:ascii="宋体" w:hAnsi="宋体" w:eastAsia="宋体" w:cs="宋体"/>
          <w:color w:val="auto"/>
          <w:sz w:val="21"/>
          <w:szCs w:val="21"/>
          <w:highlight w:val="none"/>
          <w:lang w:val="en-US" w:eastAsia="zh-CN"/>
        </w:rPr>
        <w:t>通过</w:t>
      </w:r>
      <w:r>
        <w:rPr>
          <w:rFonts w:hint="eastAsia" w:ascii="宋体" w:hAnsi="宋体" w:eastAsia="宋体" w:cs="宋体"/>
          <w:color w:val="auto"/>
          <w:kern w:val="0"/>
          <w:sz w:val="21"/>
          <w:szCs w:val="21"/>
          <w:highlight w:val="none"/>
          <w:lang w:val="en-US" w:eastAsia="zh-CN" w:bidi="ar"/>
        </w:rPr>
        <w:t>佛山市顺德区公共资源交易网</w:t>
      </w:r>
      <w:r>
        <w:rPr>
          <w:rFonts w:hint="eastAsia" w:ascii="宋体" w:hAnsi="宋体" w:eastAsia="宋体" w:cs="宋体"/>
          <w:color w:val="auto"/>
          <w:sz w:val="21"/>
          <w:szCs w:val="21"/>
          <w:highlight w:val="none"/>
        </w:rPr>
        <w:t>发布</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等资料。</w:t>
      </w:r>
    </w:p>
    <w:p w14:paraId="60B35CA7">
      <w:pPr>
        <w:pStyle w:val="16"/>
        <w:pageBreakBefore w:val="0"/>
        <w:wordWrap/>
        <w:overflowPunct/>
        <w:topLinePunct w:val="0"/>
        <w:bidi w:val="0"/>
        <w:spacing w:beforeLines="0" w:after="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2.1.4 招标文件一经在</w:t>
      </w:r>
      <w:r>
        <w:rPr>
          <w:rFonts w:hint="eastAsia" w:ascii="宋体" w:hAnsi="宋体" w:eastAsia="宋体" w:cs="宋体"/>
          <w:color w:val="auto"/>
          <w:kern w:val="0"/>
          <w:sz w:val="21"/>
          <w:szCs w:val="21"/>
          <w:highlight w:val="none"/>
          <w:lang w:val="en-US" w:eastAsia="zh-CN" w:bidi="ar"/>
        </w:rPr>
        <w:t>佛山市顺德区公共资源交易网</w:t>
      </w:r>
      <w:r>
        <w:rPr>
          <w:rFonts w:hint="eastAsia" w:ascii="宋体" w:hAnsi="宋体" w:eastAsia="宋体" w:cs="宋体"/>
          <w:color w:val="auto"/>
          <w:sz w:val="21"/>
          <w:szCs w:val="21"/>
          <w:highlight w:val="none"/>
        </w:rPr>
        <w:t>发布，视作已发放给所有投标人。</w:t>
      </w:r>
    </w:p>
    <w:p w14:paraId="3680B502">
      <w:pPr>
        <w:pStyle w:val="16"/>
        <w:pageBreakBefore w:val="0"/>
        <w:wordWrap/>
        <w:overflowPunct/>
        <w:topLinePunct w:val="0"/>
        <w:bidi w:val="0"/>
        <w:spacing w:beforeLines="0" w:after="0" w:line="400" w:lineRule="exact"/>
        <w:ind w:left="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2.1.5 投标人获取</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后，应仔细检查</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合法有效性，以及招标文件的所有内容，认真审阅招标文件中所有的事项、格式、条款和规范要求等。若投标人的投标文件没有按招标文件要求递交全部资料，或投标文件实质上没有响应招标文件的要求，评标委员会将予以否决，并且不允许投标人通过修改或撤销其不符合要求的差异使之成为具有响应性的投标文件。</w:t>
      </w:r>
    </w:p>
    <w:p w14:paraId="62A8A2EB">
      <w:pPr>
        <w:pStyle w:val="35"/>
        <w:pageBreakBefore w:val="0"/>
        <w:wordWrap/>
        <w:overflowPunct/>
        <w:topLinePunct w:val="0"/>
        <w:bidi w:val="0"/>
        <w:spacing w:line="400" w:lineRule="exact"/>
        <w:ind w:right="0"/>
        <w:outlineLvl w:val="9"/>
        <w:rPr>
          <w:rFonts w:hint="eastAsia" w:ascii="宋体" w:hAnsi="宋体" w:eastAsia="宋体" w:cs="宋体"/>
          <w:b/>
          <w:bCs/>
          <w:color w:val="auto"/>
          <w:kern w:val="2"/>
          <w:sz w:val="28"/>
          <w:szCs w:val="28"/>
          <w:highlight w:val="none"/>
          <w:lang w:val="en-US" w:eastAsia="zh-CN" w:bidi="ar-SA"/>
        </w:rPr>
      </w:pPr>
    </w:p>
    <w:p w14:paraId="25617BD4">
      <w:pPr>
        <w:pStyle w:val="7"/>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2.2 招标文件的澄清（答疑）</w:t>
      </w:r>
    </w:p>
    <w:p w14:paraId="797D9875">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投标人应仔细阅读和检查招标文件的全部内容。如发现缺页或附件不全，应及时向招标人提出，以便补齐。如有疑问，应在投标人须知前附表规定的时间</w:t>
      </w:r>
      <w:r>
        <w:rPr>
          <w:rFonts w:hint="eastAsia" w:ascii="宋体" w:hAnsi="宋体" w:eastAsia="宋体" w:cs="宋体"/>
          <w:color w:val="auto"/>
          <w:sz w:val="21"/>
          <w:szCs w:val="21"/>
          <w:highlight w:val="none"/>
          <w:lang w:val="en-US" w:eastAsia="zh-CN"/>
        </w:rPr>
        <w:t>内</w:t>
      </w:r>
      <w:r>
        <w:rPr>
          <w:rFonts w:hint="eastAsia" w:ascii="宋体" w:hAnsi="宋体" w:eastAsia="宋体" w:cs="宋体"/>
          <w:color w:val="auto"/>
          <w:sz w:val="21"/>
          <w:szCs w:val="21"/>
          <w:highlight w:val="none"/>
        </w:rPr>
        <w:t>提出，要求招标人对招标文件予以澄清。</w:t>
      </w:r>
    </w:p>
    <w:p w14:paraId="1A3CD928">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 投标人在规定的时间内未对招标文件澄清或提出疑问的，招标代理机构将视其为无异议。对招标文件中描述有歧义或前后不一致的地方，评标委员会有权进行评判，但对同一条款的评判应适用于每个投标人。</w:t>
      </w:r>
    </w:p>
    <w:p w14:paraId="77D4CB38">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2.2.3澄清文件一经在广东省公共资源交易平台（佛山市）发布，视作已发放给所有投标人</w:t>
      </w:r>
      <w:r>
        <w:rPr>
          <w:rFonts w:hint="eastAsia" w:ascii="宋体" w:hAnsi="宋体" w:eastAsia="宋体" w:cs="宋体"/>
          <w:color w:val="auto"/>
          <w:sz w:val="21"/>
          <w:szCs w:val="21"/>
          <w:highlight w:val="none"/>
        </w:rPr>
        <w:t>。</w:t>
      </w:r>
    </w:p>
    <w:p w14:paraId="366C3309">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3E984FFA">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2.3 招标文件的修改、补充</w:t>
      </w:r>
    </w:p>
    <w:p w14:paraId="3D728CF6">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2.3.1 在投标截止时间的15天以前，无论出于何种原因，采购人和采购代理机构可主动地或在解答投标人提出的疑问时对招标文件进行修改。并上传至“佛山市公共资源交易管理云平台”供投标人下载。</w:t>
      </w:r>
    </w:p>
    <w:p w14:paraId="590485A5">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2.3.2招标修改、补充文件一经在广东省公共资源交易平台（佛山市）发布，视作已发放给所有投标人。</w:t>
      </w:r>
    </w:p>
    <w:p w14:paraId="08E57662">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r>
        <w:rPr>
          <w:rFonts w:hint="eastAsia" w:ascii="宋体" w:hAnsi="宋体" w:eastAsia="宋体" w:cs="宋体"/>
          <w:color w:val="auto"/>
          <w:sz w:val="21"/>
          <w:szCs w:val="21"/>
          <w:highlight w:val="none"/>
          <w:lang w:val="en-US" w:eastAsia="zh-CN"/>
        </w:rPr>
        <w:t>3当招标文件的澄清、修改、补充等在同一内容的表述不一致时，以最后发布的公告为准</w:t>
      </w:r>
      <w:r>
        <w:rPr>
          <w:rFonts w:hint="eastAsia" w:ascii="宋体" w:hAnsi="宋体" w:eastAsia="宋体" w:cs="宋体"/>
          <w:color w:val="auto"/>
          <w:sz w:val="21"/>
          <w:szCs w:val="21"/>
          <w:highlight w:val="none"/>
        </w:rPr>
        <w:t>。</w:t>
      </w:r>
    </w:p>
    <w:p w14:paraId="24355329">
      <w:pPr>
        <w:pStyle w:val="8"/>
        <w:pageBreakBefore w:val="0"/>
        <w:wordWrap/>
        <w:overflowPunct/>
        <w:topLinePunct w:val="0"/>
        <w:bidi w:val="0"/>
        <w:spacing w:beforeLines="0" w:afterLines="0" w:line="400" w:lineRule="exact"/>
        <w:ind w:right="0"/>
        <w:rPr>
          <w:rFonts w:hint="eastAsia" w:ascii="宋体" w:hAnsi="宋体" w:eastAsia="宋体" w:cs="宋体"/>
          <w:color w:val="auto"/>
          <w:highlight w:val="none"/>
          <w:lang w:val="en-US" w:eastAsia="zh-CN"/>
        </w:rPr>
      </w:pPr>
    </w:p>
    <w:p w14:paraId="326A9464">
      <w:pPr>
        <w:pStyle w:val="7"/>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2.4 招标文件的效力</w:t>
      </w:r>
    </w:p>
    <w:p w14:paraId="04E82F3A">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 招标文件（澄清、答疑、修改、补充等）须经</w:t>
      </w:r>
      <w:r>
        <w:rPr>
          <w:rFonts w:hint="eastAsia" w:ascii="宋体" w:hAnsi="宋体" w:eastAsia="宋体" w:cs="宋体"/>
          <w:color w:val="auto"/>
          <w:sz w:val="21"/>
          <w:szCs w:val="21"/>
          <w:highlight w:val="none"/>
          <w:lang w:eastAsia="zh-CN"/>
        </w:rPr>
        <w:t>招标人盖章确认</w:t>
      </w:r>
      <w:r>
        <w:rPr>
          <w:rFonts w:hint="eastAsia" w:ascii="宋体" w:hAnsi="宋体" w:eastAsia="宋体" w:cs="宋体"/>
          <w:color w:val="auto"/>
          <w:sz w:val="21"/>
          <w:szCs w:val="21"/>
          <w:highlight w:val="none"/>
        </w:rPr>
        <w:t>。</w:t>
      </w:r>
    </w:p>
    <w:p w14:paraId="2915B6D7">
      <w:pPr>
        <w:pageBreakBefore w:val="0"/>
        <w:wordWrap/>
        <w:overflowPunct/>
        <w:topLinePunct w:val="0"/>
        <w:bidi w:val="0"/>
        <w:spacing w:beforeLines="0" w:afterLines="0" w:line="400" w:lineRule="exact"/>
        <w:ind w:left="632" w:leftChars="1" w:right="0" w:hanging="630" w:hanging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 招标文件是招标人发出的要约邀请，投标人参加投标均视为承认招标公告、招标文件及附件的所有条款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并承诺一旦中标将按招标文件、投标文件、合同条款及格式、技术规范要求的质量和进度完成全部委托任务。</w:t>
      </w:r>
    </w:p>
    <w:p w14:paraId="53656E60">
      <w:pPr>
        <w:pStyle w:val="36"/>
        <w:pageBreakBefore w:val="0"/>
        <w:wordWrap/>
        <w:overflowPunct/>
        <w:topLinePunct w:val="0"/>
        <w:bidi w:val="0"/>
        <w:spacing w:before="0" w:beforeLines="0" w:line="400" w:lineRule="exact"/>
        <w:ind w:right="0"/>
        <w:outlineLvl w:val="9"/>
        <w:rPr>
          <w:rFonts w:hint="eastAsia" w:ascii="宋体" w:hAnsi="宋体" w:eastAsia="宋体" w:cs="宋体"/>
          <w:b/>
          <w:bCs/>
          <w:color w:val="auto"/>
          <w:kern w:val="2"/>
          <w:sz w:val="28"/>
          <w:szCs w:val="28"/>
          <w:highlight w:val="none"/>
          <w:lang w:val="en-US" w:eastAsia="zh-CN" w:bidi="ar-SA"/>
        </w:rPr>
      </w:pPr>
    </w:p>
    <w:p w14:paraId="45D5A7E3">
      <w:pPr>
        <w:pStyle w:val="7"/>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3.投标文件</w:t>
      </w:r>
    </w:p>
    <w:p w14:paraId="7D7BBF9E">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 投标文件的组成</w:t>
      </w:r>
    </w:p>
    <w:p w14:paraId="739F4AE3">
      <w:pPr>
        <w:pageBreakBefore w:val="0"/>
        <w:wordWrap/>
        <w:overflowPunct/>
        <w:topLinePunct w:val="0"/>
        <w:bidi w:val="0"/>
        <w:spacing w:beforeLines="0" w:afterLines="0" w:line="400" w:lineRule="exact"/>
        <w:ind w:left="708" w:right="0" w:hanging="617" w:hangingChars="294"/>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3.1.1 投标文件由资信标（含资格审查资料）、经济标组成。</w:t>
      </w:r>
    </w:p>
    <w:p w14:paraId="61FD60F0">
      <w:pPr>
        <w:pageBreakBefore w:val="0"/>
        <w:wordWrap/>
        <w:overflowPunct/>
        <w:topLinePunct w:val="0"/>
        <w:bidi w:val="0"/>
        <w:spacing w:beforeLines="0" w:afterLines="0" w:line="400" w:lineRule="exact"/>
        <w:ind w:right="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3.1.</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 xml:space="preserve"> 资信标（含资格审查资料）应包括下列内容：</w:t>
      </w:r>
      <w:r>
        <w:rPr>
          <w:rFonts w:hint="eastAsia" w:ascii="宋体" w:hAnsi="宋体" w:eastAsia="宋体" w:cs="宋体"/>
          <w:b w:val="0"/>
          <w:bCs/>
          <w:color w:val="auto"/>
          <w:sz w:val="21"/>
          <w:szCs w:val="21"/>
          <w:highlight w:val="none"/>
          <w:lang w:eastAsia="zh-CN"/>
        </w:rPr>
        <w:t>（详见第</w:t>
      </w:r>
      <w:r>
        <w:rPr>
          <w:rFonts w:hint="eastAsia" w:ascii="宋体" w:hAnsi="宋体" w:eastAsia="宋体" w:cs="宋体"/>
          <w:b w:val="0"/>
          <w:bCs/>
          <w:color w:val="auto"/>
          <w:sz w:val="21"/>
          <w:szCs w:val="21"/>
          <w:highlight w:val="none"/>
          <w:lang w:val="en-US" w:eastAsia="zh-CN"/>
        </w:rPr>
        <w:t>七</w:t>
      </w:r>
      <w:r>
        <w:rPr>
          <w:rFonts w:hint="eastAsia" w:ascii="宋体" w:hAnsi="宋体" w:eastAsia="宋体" w:cs="宋体"/>
          <w:b w:val="0"/>
          <w:bCs/>
          <w:color w:val="auto"/>
          <w:sz w:val="21"/>
          <w:szCs w:val="21"/>
          <w:highlight w:val="none"/>
          <w:lang w:eastAsia="zh-CN"/>
        </w:rPr>
        <w:t>章投标文件格式）</w:t>
      </w:r>
    </w:p>
    <w:p w14:paraId="34905188">
      <w:pPr>
        <w:pageBreakBefore w:val="0"/>
        <w:wordWrap/>
        <w:overflowPunct/>
        <w:topLinePunct w:val="0"/>
        <w:bidi w:val="0"/>
        <w:spacing w:beforeLines="0" w:afterLines="0" w:line="400" w:lineRule="exact"/>
        <w:ind w:right="0"/>
        <w:rPr>
          <w:rFonts w:hint="eastAsia" w:ascii="宋体" w:hAnsi="宋体" w:eastAsia="宋体" w:cs="宋体"/>
          <w:b w:val="0"/>
          <w:bCs/>
          <w:color w:val="auto"/>
          <w:sz w:val="24"/>
          <w:highlight w:val="none"/>
        </w:rPr>
      </w:pPr>
      <w:r>
        <w:rPr>
          <w:rFonts w:hint="eastAsia" w:ascii="宋体" w:hAnsi="宋体" w:eastAsia="宋体" w:cs="宋体"/>
          <w:b w:val="0"/>
          <w:bCs/>
          <w:color w:val="auto"/>
          <w:sz w:val="21"/>
          <w:szCs w:val="21"/>
          <w:highlight w:val="none"/>
        </w:rPr>
        <w:t>3.1.</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 xml:space="preserve"> 经济标应包括下列内容：</w:t>
      </w:r>
      <w:r>
        <w:rPr>
          <w:rFonts w:hint="eastAsia" w:ascii="宋体" w:hAnsi="宋体" w:eastAsia="宋体" w:cs="宋体"/>
          <w:b w:val="0"/>
          <w:bCs/>
          <w:color w:val="auto"/>
          <w:sz w:val="21"/>
          <w:szCs w:val="21"/>
          <w:highlight w:val="none"/>
          <w:lang w:eastAsia="zh-CN"/>
        </w:rPr>
        <w:t>（详见第</w:t>
      </w:r>
      <w:r>
        <w:rPr>
          <w:rFonts w:hint="eastAsia" w:ascii="宋体" w:hAnsi="宋体" w:eastAsia="宋体" w:cs="宋体"/>
          <w:b w:val="0"/>
          <w:bCs/>
          <w:color w:val="auto"/>
          <w:sz w:val="21"/>
          <w:szCs w:val="21"/>
          <w:highlight w:val="none"/>
          <w:lang w:val="en-US" w:eastAsia="zh-CN"/>
        </w:rPr>
        <w:t>七</w:t>
      </w:r>
      <w:r>
        <w:rPr>
          <w:rFonts w:hint="eastAsia" w:ascii="宋体" w:hAnsi="宋体" w:eastAsia="宋体" w:cs="宋体"/>
          <w:b w:val="0"/>
          <w:bCs/>
          <w:color w:val="auto"/>
          <w:sz w:val="21"/>
          <w:szCs w:val="21"/>
          <w:highlight w:val="none"/>
          <w:lang w:eastAsia="zh-CN"/>
        </w:rPr>
        <w:t>章投标文件格式）</w:t>
      </w:r>
      <w:r>
        <w:rPr>
          <w:rFonts w:hint="eastAsia" w:ascii="宋体" w:hAnsi="宋体" w:eastAsia="宋体" w:cs="宋体"/>
          <w:b w:val="0"/>
          <w:bCs/>
          <w:color w:val="auto"/>
          <w:sz w:val="21"/>
          <w:szCs w:val="21"/>
          <w:highlight w:val="none"/>
        </w:rPr>
        <w:t xml:space="preserve"> </w:t>
      </w:r>
      <w:r>
        <w:rPr>
          <w:rFonts w:hint="eastAsia" w:ascii="宋体" w:hAnsi="宋体" w:eastAsia="宋体" w:cs="宋体"/>
          <w:b w:val="0"/>
          <w:bCs/>
          <w:color w:val="auto"/>
          <w:sz w:val="24"/>
          <w:highlight w:val="none"/>
        </w:rPr>
        <w:t xml:space="preserve">  </w:t>
      </w:r>
    </w:p>
    <w:p w14:paraId="166EA03B">
      <w:pPr>
        <w:pageBreakBefore w:val="0"/>
        <w:wordWrap/>
        <w:overflowPunct/>
        <w:topLinePunct w:val="0"/>
        <w:bidi w:val="0"/>
        <w:spacing w:beforeLines="0" w:afterLines="0" w:line="400" w:lineRule="exact"/>
        <w:ind w:right="0"/>
        <w:outlineLvl w:val="9"/>
        <w:rPr>
          <w:rFonts w:hint="eastAsia" w:ascii="宋体" w:hAnsi="宋体" w:eastAsia="宋体" w:cs="宋体"/>
          <w:color w:val="auto"/>
          <w:highlight w:val="none"/>
        </w:rPr>
      </w:pPr>
    </w:p>
    <w:p w14:paraId="717A0EAB">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 投标报价</w:t>
      </w:r>
    </w:p>
    <w:p w14:paraId="39DDB8F2">
      <w:pPr>
        <w:pageBreakBefore w:val="0"/>
        <w:kinsoku/>
        <w:wordWrap/>
        <w:overflowPunct/>
        <w:topLinePunct w:val="0"/>
        <w:autoSpaceDE/>
        <w:autoSpaceDN/>
        <w:bidi w:val="0"/>
        <w:snapToGrid/>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3.2.1 投标报价应包括国家规定的增值税税金，除投标人须知前附表另有规定外，增值税税金按一般计税方法计算。投标人应按第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章“投标文件格式”中的要求在投标函中进行报价。</w:t>
      </w:r>
    </w:p>
    <w:p w14:paraId="4C7FA3A9">
      <w:pPr>
        <w:pageBreakBefore w:val="0"/>
        <w:kinsoku/>
        <w:wordWrap/>
        <w:overflowPunct/>
        <w:topLinePunct w:val="0"/>
        <w:autoSpaceDE/>
        <w:autoSpaceDN/>
        <w:bidi w:val="0"/>
        <w:snapToGrid/>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3.2.2 投标人应充分了解该项目的总体情况以及影响投标报价的其他要素。</w:t>
      </w:r>
    </w:p>
    <w:p w14:paraId="2E13B974">
      <w:pPr>
        <w:pageBreakBefore w:val="0"/>
        <w:kinsoku/>
        <w:wordWrap/>
        <w:overflowPunct/>
        <w:topLinePunct w:val="0"/>
        <w:autoSpaceDE/>
        <w:autoSpaceDN/>
        <w:bidi w:val="0"/>
        <w:snapToGrid/>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3.2.3 投标人在投标截止时间前修改投标函中的投标报价，应同时修改“投标报价书”中的响应报价。此修改须符合本章第4.3款的有关要求</w:t>
      </w:r>
      <w:r>
        <w:rPr>
          <w:rFonts w:hint="eastAsia" w:ascii="宋体" w:hAnsi="宋体" w:eastAsia="宋体" w:cs="宋体"/>
          <w:color w:val="auto"/>
          <w:sz w:val="21"/>
          <w:szCs w:val="21"/>
          <w:highlight w:val="none"/>
        </w:rPr>
        <w:t>。</w:t>
      </w:r>
    </w:p>
    <w:p w14:paraId="36D3BEB1">
      <w:pPr>
        <w:pageBreakBefore w:val="0"/>
        <w:kinsoku/>
        <w:wordWrap/>
        <w:overflowPunct/>
        <w:topLinePunct w:val="0"/>
        <w:autoSpaceDE/>
        <w:autoSpaceDN/>
        <w:bidi w:val="0"/>
        <w:snapToGrid/>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3.2.4 </w:t>
      </w:r>
      <w:r>
        <w:rPr>
          <w:rFonts w:hint="eastAsia" w:ascii="宋体" w:hAnsi="宋体" w:eastAsia="宋体" w:cs="宋体"/>
          <w:color w:val="auto"/>
          <w:sz w:val="21"/>
          <w:szCs w:val="21"/>
          <w:highlight w:val="none"/>
        </w:rPr>
        <w:t>招标人设有</w:t>
      </w:r>
      <w:r>
        <w:rPr>
          <w:rFonts w:hint="eastAsia" w:ascii="宋体" w:hAnsi="宋体" w:eastAsia="宋体" w:cs="宋体"/>
          <w:color w:val="auto"/>
          <w:sz w:val="21"/>
          <w:szCs w:val="21"/>
          <w:highlight w:val="none"/>
          <w:lang w:eastAsia="zh-CN"/>
        </w:rPr>
        <w:t>招标控制价（最高投标限价）</w:t>
      </w:r>
      <w:r>
        <w:rPr>
          <w:rFonts w:hint="eastAsia" w:ascii="宋体" w:hAnsi="宋体" w:eastAsia="宋体" w:cs="宋体"/>
          <w:color w:val="auto"/>
          <w:sz w:val="21"/>
          <w:szCs w:val="21"/>
          <w:highlight w:val="none"/>
        </w:rPr>
        <w:t>的，投标人的投标报价不得超过</w:t>
      </w:r>
      <w:r>
        <w:rPr>
          <w:rFonts w:hint="eastAsia" w:ascii="宋体" w:hAnsi="宋体" w:eastAsia="宋体" w:cs="宋体"/>
          <w:color w:val="auto"/>
          <w:sz w:val="21"/>
          <w:szCs w:val="21"/>
          <w:highlight w:val="none"/>
          <w:lang w:eastAsia="zh-CN"/>
        </w:rPr>
        <w:t>招标控制价（最高投标限价）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招标控制价（最高投标限价）</w:t>
      </w:r>
      <w:r>
        <w:rPr>
          <w:rFonts w:hint="eastAsia" w:ascii="宋体" w:hAnsi="宋体" w:eastAsia="宋体" w:cs="宋体"/>
          <w:color w:val="auto"/>
          <w:sz w:val="21"/>
          <w:szCs w:val="21"/>
          <w:highlight w:val="none"/>
        </w:rPr>
        <w:t>及其计算方法在投标人须知前附表中载明。</w:t>
      </w:r>
      <w:r>
        <w:rPr>
          <w:rFonts w:hint="eastAsia" w:ascii="宋体" w:hAnsi="宋体" w:eastAsia="宋体" w:cs="宋体"/>
          <w:color w:val="auto"/>
          <w:sz w:val="21"/>
          <w:szCs w:val="21"/>
          <w:highlight w:val="none"/>
          <w:lang w:val="en-US" w:eastAsia="zh-CN"/>
        </w:rPr>
        <w:t>投标单位的报价不得低于其成本价或高于招标控制价（最高投标限价）</w:t>
      </w:r>
      <w:r>
        <w:rPr>
          <w:rFonts w:hint="eastAsia" w:ascii="宋体" w:hAnsi="宋体" w:eastAsia="宋体" w:cs="宋体"/>
          <w:color w:val="auto"/>
          <w:sz w:val="21"/>
          <w:szCs w:val="21"/>
          <w:highlight w:val="none"/>
        </w:rPr>
        <w:t>。</w:t>
      </w:r>
    </w:p>
    <w:p w14:paraId="5692FE63">
      <w:pPr>
        <w:pageBreakBefore w:val="0"/>
        <w:kinsoku/>
        <w:wordWrap/>
        <w:overflowPunct/>
        <w:topLinePunct w:val="0"/>
        <w:autoSpaceDE/>
        <w:autoSpaceDN/>
        <w:bidi w:val="0"/>
        <w:snapToGrid/>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风险控制价设置详</w:t>
      </w:r>
      <w:r>
        <w:rPr>
          <w:rFonts w:hint="eastAsia" w:ascii="宋体" w:hAnsi="宋体"/>
          <w:color w:val="auto"/>
          <w:sz w:val="21"/>
          <w:szCs w:val="21"/>
          <w:highlight w:val="none"/>
        </w:rPr>
        <w:t>见投标人须知前附表</w:t>
      </w:r>
      <w:r>
        <w:rPr>
          <w:rFonts w:hint="eastAsia" w:ascii="宋体" w:hAnsi="宋体" w:eastAsia="宋体" w:cs="宋体"/>
          <w:color w:val="auto"/>
          <w:sz w:val="21"/>
          <w:szCs w:val="21"/>
          <w:highlight w:val="none"/>
          <w:lang w:val="en-US" w:eastAsia="zh-CN"/>
        </w:rPr>
        <w:t>。</w:t>
      </w:r>
    </w:p>
    <w:p w14:paraId="6956E0B2">
      <w:pPr>
        <w:pStyle w:val="16"/>
        <w:pageBreakBefore w:val="0"/>
        <w:kinsoku/>
        <w:wordWrap/>
        <w:overflowPunct/>
        <w:topLinePunct w:val="0"/>
        <w:autoSpaceDE/>
        <w:autoSpaceDN/>
        <w:bidi w:val="0"/>
        <w:snapToGrid/>
        <w:spacing w:beforeLines="0" w:after="0" w:afterLines="0" w:line="400" w:lineRule="exact"/>
        <w:ind w:left="630" w:leftChars="0" w:right="0" w:hanging="630" w:hangingChars="3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结算方法：见投标人须知前附表。</w:t>
      </w:r>
    </w:p>
    <w:p w14:paraId="1BD19F1A">
      <w:pPr>
        <w:pStyle w:val="16"/>
        <w:pageBreakBefore w:val="0"/>
        <w:wordWrap/>
        <w:overflowPunct/>
        <w:topLinePunct w:val="0"/>
        <w:bidi w:val="0"/>
        <w:spacing w:beforeLines="0" w:after="0" w:line="400" w:lineRule="exact"/>
        <w:ind w:right="0" w:hanging="630" w:hangingChars="3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3.2.7 投标报价的其他要求见投标人须知前附表。</w:t>
      </w:r>
    </w:p>
    <w:p w14:paraId="5795271A">
      <w:pPr>
        <w:pageBreakBefore w:val="0"/>
        <w:wordWrap/>
        <w:overflowPunct/>
        <w:topLinePunct w:val="0"/>
        <w:bidi w:val="0"/>
        <w:spacing w:beforeLines="0" w:afterLines="0" w:line="400" w:lineRule="exact"/>
        <w:ind w:left="720" w:right="0" w:hanging="720" w:hangingChars="300"/>
        <w:rPr>
          <w:rFonts w:hint="eastAsia" w:ascii="宋体" w:hAnsi="宋体" w:eastAsia="宋体" w:cs="宋体"/>
          <w:color w:val="auto"/>
          <w:sz w:val="24"/>
          <w:highlight w:val="none"/>
        </w:rPr>
      </w:pPr>
    </w:p>
    <w:p w14:paraId="7E15DCA6">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3.3 投标货币</w:t>
      </w:r>
    </w:p>
    <w:p w14:paraId="6DDF76BD">
      <w:pPr>
        <w:pageBreakBefore w:val="0"/>
        <w:wordWrap/>
        <w:overflowPunct/>
        <w:topLinePunct w:val="0"/>
        <w:bidi w:val="0"/>
        <w:spacing w:beforeLines="0" w:afterLines="0" w:line="400" w:lineRule="exact"/>
        <w:ind w:left="689" w:leftChars="228" w:right="0" w:hanging="210" w:hanging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r>
        <w:rPr>
          <w:rFonts w:hint="eastAsia" w:ascii="宋体" w:hAnsi="宋体" w:eastAsia="宋体" w:cs="宋体"/>
          <w:color w:val="auto"/>
          <w:sz w:val="21"/>
          <w:szCs w:val="21"/>
          <w:highlight w:val="none"/>
          <w:lang w:val="en-US" w:eastAsia="zh-CN"/>
        </w:rPr>
        <w:t>招标项目</w:t>
      </w:r>
      <w:r>
        <w:rPr>
          <w:rFonts w:hint="eastAsia" w:ascii="宋体" w:hAnsi="宋体" w:eastAsia="宋体" w:cs="宋体"/>
          <w:color w:val="auto"/>
          <w:sz w:val="21"/>
          <w:szCs w:val="21"/>
          <w:highlight w:val="none"/>
        </w:rPr>
        <w:t>投标报价采用的币种为人民币。</w:t>
      </w:r>
    </w:p>
    <w:p w14:paraId="7B70C312">
      <w:pPr>
        <w:pageBreakBefore w:val="0"/>
        <w:wordWrap/>
        <w:overflowPunct/>
        <w:topLinePunct w:val="0"/>
        <w:bidi w:val="0"/>
        <w:spacing w:beforeLines="0" w:afterLines="0" w:line="400" w:lineRule="exact"/>
        <w:ind w:left="719" w:leftChars="228" w:right="0" w:hanging="240" w:hangingChars="100"/>
        <w:rPr>
          <w:rFonts w:hint="eastAsia" w:ascii="宋体" w:hAnsi="宋体" w:eastAsia="宋体" w:cs="宋体"/>
          <w:color w:val="auto"/>
          <w:sz w:val="24"/>
          <w:highlight w:val="none"/>
        </w:rPr>
      </w:pPr>
    </w:p>
    <w:p w14:paraId="50C43ABE">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3.4 投标有效期</w:t>
      </w:r>
    </w:p>
    <w:p w14:paraId="47E2F39A">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 在投标人须知前附表规定的投标有效期内，投标人不得要求撤销或修改其投标文件。</w:t>
      </w:r>
    </w:p>
    <w:p w14:paraId="7B22CC7D">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3.4.2</w:t>
      </w:r>
      <w:r>
        <w:rPr>
          <w:rFonts w:hint="eastAsia" w:ascii="宋体" w:hAnsi="宋体" w:eastAsia="宋体" w:cs="宋体"/>
          <w:color w:val="auto"/>
          <w:sz w:val="21"/>
          <w:szCs w:val="21"/>
          <w:highlight w:val="none"/>
          <w:lang w:val="en-US" w:eastAsia="zh-CN"/>
        </w:rPr>
        <w:t xml:space="preserve"> 在投标有效期内，投标人撤销投标文件的，应承担招标文件和相关法律法规规定的责任。</w:t>
      </w:r>
    </w:p>
    <w:p w14:paraId="73871DD4">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3.4.3 出现特殊情况需要延长投标有效期的，招标人以书面形式通知所有投标人延长投标有效期。投标人应予以书面答复，同意延长的，应相应延长其投标保证金的有效期，但不得要求或被允许修改或撤销其投标文件；投标人同意延长，但投标担保的有效期不满足其投标有效期的，其投标失效，但投标人有权收回其投标担保；投标人拒绝延长的，其投标失效，但投标人有权收回其投标保证金及以现金形式递交的投标保证金的银行同期存款利息（扣除银行手续费）。</w:t>
      </w:r>
    </w:p>
    <w:p w14:paraId="40405F23">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7B031C20">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3.5 投标</w:t>
      </w:r>
      <w:r>
        <w:rPr>
          <w:rFonts w:hint="eastAsia" w:ascii="宋体" w:hAnsi="宋体" w:eastAsia="宋体" w:cs="宋体"/>
          <w:color w:val="auto"/>
          <w:sz w:val="22"/>
          <w:szCs w:val="22"/>
          <w:highlight w:val="none"/>
          <w:lang w:eastAsia="zh-CN"/>
        </w:rPr>
        <w:t>保证</w:t>
      </w:r>
      <w:r>
        <w:rPr>
          <w:rFonts w:hint="eastAsia" w:ascii="宋体" w:hAnsi="宋体" w:eastAsia="宋体" w:cs="宋体"/>
          <w:color w:val="auto"/>
          <w:sz w:val="22"/>
          <w:szCs w:val="22"/>
          <w:highlight w:val="none"/>
        </w:rPr>
        <w:t>金</w:t>
      </w:r>
    </w:p>
    <w:p w14:paraId="6FBA712A">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3.5.1 投标人在递交投标文件的同时，应按投标人须知前附表规定的金额、担保形式和第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章“投标文件格式”规定的格式递交投标</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金，并作为</w:t>
      </w:r>
      <w:r>
        <w:rPr>
          <w:rFonts w:hint="eastAsia" w:ascii="宋体" w:hAnsi="宋体" w:eastAsia="宋体" w:cs="宋体"/>
          <w:color w:val="auto"/>
          <w:sz w:val="21"/>
          <w:szCs w:val="21"/>
          <w:highlight w:val="none"/>
          <w:lang w:val="en-US" w:eastAsia="zh-CN"/>
        </w:rPr>
        <w:t>其</w:t>
      </w:r>
      <w:r>
        <w:rPr>
          <w:rFonts w:hint="eastAsia" w:ascii="宋体" w:hAnsi="宋体" w:eastAsia="宋体" w:cs="宋体"/>
          <w:color w:val="auto"/>
          <w:sz w:val="21"/>
          <w:szCs w:val="21"/>
          <w:highlight w:val="none"/>
        </w:rPr>
        <w:t>投标文件的组成部分。</w:t>
      </w:r>
    </w:p>
    <w:p w14:paraId="4143CBC1">
      <w:pPr>
        <w:pageBreakBefore w:val="0"/>
        <w:wordWrap/>
        <w:overflowPunct/>
        <w:topLinePunct w:val="0"/>
        <w:bidi w:val="0"/>
        <w:spacing w:beforeLines="0" w:afterLines="0" w:line="400" w:lineRule="exact"/>
        <w:ind w:left="0" w:leftChars="0"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（1）投标人须按本须知前附表中规定的方式和金额提交投标</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w:t>
      </w:r>
    </w:p>
    <w:p w14:paraId="66A3B700">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（2）投标人须在本须知前附表中规定的时间前，按规定的办法提交投标</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w:t>
      </w:r>
    </w:p>
    <w:p w14:paraId="1275B537">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投标</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金的有效期与退还</w:t>
      </w:r>
    </w:p>
    <w:p w14:paraId="192FE781">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300"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金在投标文件有效期内保持有效，招标人如果按本须知第3.4.</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款的规定</w:t>
      </w:r>
      <w:r>
        <w:rPr>
          <w:rFonts w:hint="eastAsia" w:ascii="宋体" w:hAnsi="宋体" w:eastAsia="宋体" w:cs="宋体"/>
          <w:color w:val="auto"/>
          <w:sz w:val="21"/>
          <w:szCs w:val="21"/>
          <w:highlight w:val="none"/>
        </w:rPr>
        <w:t>延长了投标文件的有效期，则</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金的有效期也相应延长；</w:t>
      </w:r>
    </w:p>
    <w:p w14:paraId="29045BDD">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300" w:right="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中标人的投标保证金或投标保函（银行保函）将在其与招标人签定合同并经见证后五个工作日内予以全额无息退还；未中标的投标投标人的投标保证金或投标保函（银行保函）在中标通知书发出后五个工作日内予以全额无息退还；如有质疑或投诉，将在质疑和投诉处理完毕后全额无息退还。</w:t>
      </w:r>
    </w:p>
    <w:p w14:paraId="36D13A68">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有下列情形之一的，投标保证金将不予退还：</w:t>
      </w:r>
    </w:p>
    <w:p w14:paraId="38E159F1">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（1）投标截止后投标人撤销其投标文件的；</w:t>
      </w:r>
    </w:p>
    <w:p w14:paraId="6C3CCEAC">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（2）中标人无正当理由不与招标人订立合同的；</w:t>
      </w:r>
    </w:p>
    <w:p w14:paraId="28A276A2">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（3）中标人在签订合同时向招标人提出附加条件的；</w:t>
      </w:r>
    </w:p>
    <w:p w14:paraId="5001D6AF">
      <w:pPr>
        <w:pStyle w:val="8"/>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中标人在签订合同时更改合同实质性内容的</w:t>
      </w:r>
      <w:r>
        <w:rPr>
          <w:rFonts w:hint="eastAsia" w:ascii="宋体" w:hAnsi="宋体" w:eastAsia="宋体" w:cs="宋体"/>
          <w:color w:val="auto"/>
          <w:sz w:val="21"/>
          <w:szCs w:val="21"/>
          <w:highlight w:val="none"/>
          <w:lang w:eastAsia="zh-CN"/>
        </w:rPr>
        <w:t>；</w:t>
      </w:r>
    </w:p>
    <w:p w14:paraId="08AC9A5B">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）中标人不按照招标文件要求提交履约</w:t>
      </w:r>
      <w:r>
        <w:rPr>
          <w:rFonts w:hint="eastAsia" w:ascii="宋体" w:hAnsi="宋体" w:eastAsia="宋体" w:cs="宋体"/>
          <w:color w:val="auto"/>
          <w:sz w:val="21"/>
          <w:szCs w:val="21"/>
          <w:highlight w:val="none"/>
          <w:lang w:val="en-US" w:eastAsia="zh-CN"/>
        </w:rPr>
        <w:t>保证金</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w:t>
      </w:r>
    </w:p>
    <w:p w14:paraId="78EBF0B8">
      <w:pPr>
        <w:pageBreakBefore w:val="0"/>
        <w:wordWrap/>
        <w:overflowPunct/>
        <w:topLinePunct w:val="0"/>
        <w:bidi w:val="0"/>
        <w:spacing w:beforeLines="0" w:afterLines="0" w:line="400" w:lineRule="exact"/>
        <w:ind w:right="0" w:firstLine="630" w:firstLineChars="3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eastAsia="zh-CN"/>
        </w:rPr>
        <w:t>）投标人须知前附表规定的其他可以不予退还投标保证金的情形</w:t>
      </w:r>
      <w:r>
        <w:rPr>
          <w:rFonts w:hint="eastAsia" w:ascii="宋体" w:hAnsi="宋体" w:eastAsia="宋体" w:cs="宋体"/>
          <w:b w:val="0"/>
          <w:bCs w:val="0"/>
          <w:color w:val="auto"/>
          <w:sz w:val="21"/>
          <w:szCs w:val="21"/>
          <w:highlight w:val="none"/>
          <w:lang w:val="en-US" w:eastAsia="zh-CN"/>
        </w:rPr>
        <w:t>。</w:t>
      </w:r>
    </w:p>
    <w:p w14:paraId="39FEF1F7">
      <w:pPr>
        <w:pageBreakBefore w:val="0"/>
        <w:wordWrap/>
        <w:overflowPunct/>
        <w:topLinePunct w:val="0"/>
        <w:bidi w:val="0"/>
        <w:spacing w:beforeLines="0" w:afterLines="0" w:line="400" w:lineRule="exact"/>
        <w:ind w:right="0" w:firstLine="720" w:firstLineChars="300"/>
        <w:rPr>
          <w:rFonts w:hint="eastAsia" w:ascii="宋体" w:hAnsi="宋体" w:eastAsia="宋体" w:cs="宋体"/>
          <w:color w:val="auto"/>
          <w:sz w:val="24"/>
          <w:highlight w:val="none"/>
        </w:rPr>
      </w:pPr>
    </w:p>
    <w:p w14:paraId="161BD685">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3.6 资格审查资料</w:t>
      </w:r>
    </w:p>
    <w:p w14:paraId="35040828">
      <w:pPr>
        <w:pStyle w:val="8"/>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资格审查资料，按招标公告要求、评定办法及投标文件格式中要求的资料和规定提交。</w:t>
      </w:r>
    </w:p>
    <w:p w14:paraId="0956A235">
      <w:pPr>
        <w:pStyle w:val="23"/>
        <w:pageBreakBefore w:val="0"/>
        <w:wordWrap/>
        <w:overflowPunct/>
        <w:topLinePunct w:val="0"/>
        <w:bidi w:val="0"/>
        <w:spacing w:beforeLines="0" w:afterLines="0" w:line="400" w:lineRule="exact"/>
        <w:ind w:left="718" w:leftChars="342" w:right="0"/>
        <w:rPr>
          <w:rFonts w:hint="eastAsia" w:ascii="宋体" w:hAnsi="宋体" w:eastAsia="宋体" w:cs="宋体"/>
          <w:color w:val="auto"/>
          <w:sz w:val="24"/>
          <w:szCs w:val="24"/>
          <w:highlight w:val="none"/>
          <w:lang w:eastAsia="zh-CN"/>
        </w:rPr>
      </w:pPr>
    </w:p>
    <w:p w14:paraId="48CC9271">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3.7 备选投标方案</w:t>
      </w:r>
    </w:p>
    <w:p w14:paraId="3A07BA97">
      <w:pPr>
        <w:pageBreakBefore w:val="0"/>
        <w:wordWrap/>
        <w:overflowPunct/>
        <w:topLinePunct w:val="0"/>
        <w:bidi w:val="0"/>
        <w:spacing w:beforeLines="0" w:afterLines="0" w:line="400" w:lineRule="exact"/>
        <w:ind w:left="479" w:leftChars="228"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68DD22E6">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13158A4F">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3.8 投标文件的编制</w:t>
      </w:r>
    </w:p>
    <w:p w14:paraId="75581863">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投标文件应按第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章“投标文件格式”进行编写，如有必要，可以增加附页，作为投标文件的组成部分。</w:t>
      </w:r>
    </w:p>
    <w:p w14:paraId="596C90F3">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3.8.2 投标文件应当对招标文件有关服务期、投标有效期、质量要求、</w:t>
      </w:r>
      <w:r>
        <w:rPr>
          <w:rFonts w:hint="eastAsia" w:ascii="宋体" w:hAnsi="宋体" w:eastAsia="宋体" w:cs="宋体"/>
          <w:color w:val="auto"/>
          <w:sz w:val="21"/>
          <w:szCs w:val="21"/>
          <w:highlight w:val="none"/>
          <w:lang w:val="en-US" w:eastAsia="zh-CN"/>
        </w:rPr>
        <w:t>发包人要求</w:t>
      </w:r>
      <w:r>
        <w:rPr>
          <w:rFonts w:hint="eastAsia" w:ascii="宋体" w:hAnsi="宋体" w:eastAsia="宋体" w:cs="宋体"/>
          <w:color w:val="auto"/>
          <w:sz w:val="21"/>
          <w:szCs w:val="21"/>
          <w:highlight w:val="none"/>
        </w:rPr>
        <w:t>、招标范围等实质性内容作出响应。在此基础上，投标文件可以提出比招标文件要求更有利于招标人的承诺。</w:t>
      </w:r>
    </w:p>
    <w:p w14:paraId="1383AB40">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投标文件正本应用不褪色的材料书写或打印，投标文件中需签字（章）、盖章的，投标人应按要求由投标人法定代表人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或其委托代理人签字（章）并加盖投标人单位公章。法定代表人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委托代理人签字（章）的，投标文件应附法定代表人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签署的授权委托书。投标文件应尽量避免涂改、行间插字或删除，否则，所有改动之处均应加盖单位公章或由投标人的法定代表人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或其委托代理人亲笔签字（章）确认。</w:t>
      </w:r>
    </w:p>
    <w:p w14:paraId="69A25554">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3.8.4 投标文件份数见投标人须知前附表。正本和副本的封面上应清楚地标记“正本”或“副本”的字样。当副本和正本不一致时，以正本为准。</w:t>
      </w:r>
    </w:p>
    <w:p w14:paraId="0703D295">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投标文件装订成册后须加盖投标人公章，且其余投标文件的副本可以是正本签字（章）盖章后的复印件，但必须清晰明辨。否则投标人须自行承担后果。当副本或投标文件电子版与正本不一致时以正本为准。投标文件电子版应包含所有投标文件的内容。</w:t>
      </w:r>
    </w:p>
    <w:p w14:paraId="12369181">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投标文件的具体装订要求见投标人须知前附表规定。</w:t>
      </w:r>
    </w:p>
    <w:p w14:paraId="7B74225D">
      <w:pPr>
        <w:pStyle w:val="36"/>
        <w:pageBreakBefore w:val="0"/>
        <w:wordWrap/>
        <w:overflowPunct/>
        <w:topLinePunct w:val="0"/>
        <w:bidi w:val="0"/>
        <w:spacing w:before="0" w:beforeLines="0" w:line="400" w:lineRule="exact"/>
        <w:ind w:right="0"/>
        <w:outlineLvl w:val="9"/>
        <w:rPr>
          <w:rFonts w:hint="eastAsia" w:ascii="宋体" w:hAnsi="宋体" w:eastAsia="宋体" w:cs="宋体"/>
          <w:color w:val="auto"/>
          <w:highlight w:val="none"/>
          <w:lang w:eastAsia="zh-CN"/>
        </w:rPr>
      </w:pPr>
      <w:r>
        <w:rPr>
          <w:rFonts w:hint="eastAsia" w:ascii="宋体" w:hAnsi="宋体" w:eastAsia="宋体" w:cs="宋体"/>
          <w:color w:val="auto"/>
          <w:sz w:val="24"/>
          <w:highlight w:val="none"/>
          <w:lang w:val="en-US" w:eastAsia="zh-CN"/>
        </w:rPr>
        <w:t xml:space="preserve"> </w:t>
      </w:r>
    </w:p>
    <w:p w14:paraId="09AAEA1F">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w:t>
      </w:r>
    </w:p>
    <w:p w14:paraId="217F1F3A">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 投标文件、投标保函（或保单）的密封、标记、提交和核验</w:t>
      </w:r>
    </w:p>
    <w:p w14:paraId="0A42460B">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 投标文件、纸质投标保函（或保单）的密封、标记、提交和纸质投标保函（或保单）核验要求详见投标人须知前附表。</w:t>
      </w:r>
    </w:p>
    <w:p w14:paraId="38C9C90B">
      <w:pPr>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rPr>
      </w:pPr>
    </w:p>
    <w:p w14:paraId="37A46D90">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 投标文件的递交</w:t>
      </w:r>
    </w:p>
    <w:p w14:paraId="4F8AE75D">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 除投标文件否决性条款摘要另有规定外，投标人所递交的投标文件不予退还。</w:t>
      </w:r>
    </w:p>
    <w:p w14:paraId="1E37AF22">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 逾期送达的或者未送达指定地点的投标文件，招标人不予受理。</w:t>
      </w:r>
    </w:p>
    <w:p w14:paraId="04D8A2C0">
      <w:pPr>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rPr>
      </w:pPr>
    </w:p>
    <w:p w14:paraId="32DF2A2C">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 投标文件的修改与撤回</w:t>
      </w:r>
    </w:p>
    <w:p w14:paraId="53D84D1F">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4.3.1 在投标人须知前附表规定的投标截止时间前，投标人可以修改或撤回已递交的投标文件，但应以书面形式通知招标人。</w:t>
      </w:r>
    </w:p>
    <w:p w14:paraId="29F87B1A">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4.3.2 修改的内容为投标文件的组成部分。修改的投标文件应按照本章第3.8款、第4.1款、第4.2款规定进行编制、密封、标记和递交，并标明“修改”字样。</w:t>
      </w:r>
    </w:p>
    <w:p w14:paraId="7E13365A">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4.3.3 投标人依法撤回投标文件的，招标人自收到投标人书面撤回通知之日起5日内办理退还已收取的投标保证金（</w:t>
      </w:r>
      <w:r>
        <w:rPr>
          <w:rFonts w:hint="eastAsia" w:ascii="宋体" w:hAnsi="宋体" w:eastAsia="宋体" w:cs="宋体"/>
          <w:color w:val="auto"/>
          <w:sz w:val="21"/>
          <w:szCs w:val="21"/>
          <w:highlight w:val="none"/>
          <w:lang w:val="en-US" w:eastAsia="zh-CN"/>
        </w:rPr>
        <w:t>无息</w:t>
      </w:r>
      <w:r>
        <w:rPr>
          <w:rFonts w:hint="eastAsia" w:ascii="宋体" w:hAnsi="宋体" w:eastAsia="宋体" w:cs="宋体"/>
          <w:color w:val="auto"/>
          <w:sz w:val="21"/>
          <w:szCs w:val="21"/>
          <w:highlight w:val="none"/>
        </w:rPr>
        <w:t>）。</w:t>
      </w:r>
    </w:p>
    <w:p w14:paraId="7C1F2AE8">
      <w:pPr>
        <w:pStyle w:val="36"/>
        <w:pageBreakBefore w:val="0"/>
        <w:wordWrap/>
        <w:overflowPunct/>
        <w:topLinePunct w:val="0"/>
        <w:bidi w:val="0"/>
        <w:spacing w:before="0" w:beforeLines="0" w:line="400" w:lineRule="exact"/>
        <w:ind w:right="0"/>
        <w:outlineLvl w:val="9"/>
        <w:rPr>
          <w:rFonts w:hint="eastAsia" w:ascii="宋体" w:hAnsi="宋体" w:eastAsia="宋体" w:cs="宋体"/>
          <w:color w:val="auto"/>
          <w:highlight w:val="none"/>
        </w:rPr>
      </w:pPr>
    </w:p>
    <w:p w14:paraId="68247D5E">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5.开标</w:t>
      </w:r>
    </w:p>
    <w:p w14:paraId="1C305A2B">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 开标时间和地点</w:t>
      </w:r>
    </w:p>
    <w:p w14:paraId="7080FBF3">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5.1.1 参加开标会的法定代表人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lang w:eastAsia="zh-CN"/>
        </w:rPr>
        <w:t>或授权代理人应在投标截止时间前到场，并带齐个人身份证原件当场提交与核验（所有个人身份证原件于开标会现场查验后当场退还）。</w:t>
      </w:r>
    </w:p>
    <w:p w14:paraId="67F6B83B">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5.1.2 参加开标会人员的身份证明文件要求：本人身份证原件。</w:t>
      </w:r>
    </w:p>
    <w:p w14:paraId="04C47304">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5.1.3 投标人的法定代表人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lang w:eastAsia="zh-CN"/>
        </w:rPr>
        <w:t>或授权代理人未全程参加开标会的，视为该投标人默认开标结果。</w:t>
      </w:r>
    </w:p>
    <w:p w14:paraId="23EB126E">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076B5CBD">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 开标程序</w:t>
      </w:r>
    </w:p>
    <w:p w14:paraId="58A26BAF">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 投标人出席开标会人员的身份检查由招标人代表实施并当众宣布检查结果；投标文件密封情况检查由</w:t>
      </w:r>
      <w:r>
        <w:rPr>
          <w:rFonts w:hint="eastAsia" w:ascii="宋体" w:hAnsi="宋体" w:eastAsia="宋体" w:cs="宋体"/>
          <w:color w:val="auto"/>
          <w:sz w:val="21"/>
          <w:szCs w:val="21"/>
          <w:highlight w:val="none"/>
          <w:lang w:eastAsia="zh-CN"/>
        </w:rPr>
        <w:t>招标</w:t>
      </w:r>
      <w:r>
        <w:rPr>
          <w:rFonts w:hint="eastAsia" w:ascii="宋体" w:hAnsi="宋体" w:eastAsia="宋体" w:cs="宋体"/>
          <w:color w:val="auto"/>
          <w:sz w:val="21"/>
          <w:szCs w:val="21"/>
          <w:highlight w:val="none"/>
        </w:rPr>
        <w:t>人和授权代理人按签到顺序排前的两名授权代理人实施并当场宣布检查结果。不符合规定要求的，其投标将被拒绝。</w:t>
      </w:r>
    </w:p>
    <w:p w14:paraId="1B98EB62">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5.2.2 开标顺序：随机。</w:t>
      </w:r>
    </w:p>
    <w:p w14:paraId="4821AA68">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5.2.3 主持人按下列程序对投标文件进行开标：</w:t>
      </w:r>
    </w:p>
    <w:p w14:paraId="37B67CD2">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（1）宣布开标纪律，介绍参加开标会的人员；</w:t>
      </w:r>
    </w:p>
    <w:p w14:paraId="4ADCD568">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（2）公布在投标截止时间前递交投标文件的投标人名称； </w:t>
      </w:r>
    </w:p>
    <w:p w14:paraId="5FAA6B7B">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（3）按照投标人须知前附表规定检查投标文件和纸质投标保函（或保单）的密封情况；</w:t>
      </w:r>
    </w:p>
    <w:p w14:paraId="08681A14">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（4）按照规定确定并宣布投标文件开标顺序；</w:t>
      </w:r>
    </w:p>
    <w:p w14:paraId="26C11EEA">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（5）设有标底的，公布标底；</w:t>
      </w:r>
    </w:p>
    <w:p w14:paraId="2CD097D2">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（6）核验投标保证金递交等情况；</w:t>
      </w:r>
    </w:p>
    <w:p w14:paraId="0818AB70">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（7）按照宣布的开标顺序当众开标，公布投标人名称、标段名称、投标报价及相关内容，并记录在案；</w:t>
      </w:r>
    </w:p>
    <w:p w14:paraId="3DE31054">
      <w:pPr>
        <w:pageBreakBefore w:val="0"/>
        <w:wordWrap/>
        <w:overflowPunct/>
        <w:topLinePunct w:val="0"/>
        <w:bidi w:val="0"/>
        <w:spacing w:beforeLines="0" w:afterLines="0" w:line="400" w:lineRule="exact"/>
        <w:ind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）招标人通过</w:t>
      </w:r>
      <w:r>
        <w:rPr>
          <w:rFonts w:hint="eastAsia" w:ascii="宋体" w:hAnsi="宋体" w:eastAsia="宋体" w:cs="宋体"/>
          <w:color w:val="auto"/>
          <w:szCs w:val="21"/>
          <w:highlight w:val="none"/>
          <w:lang w:val="en-US" w:eastAsia="zh-CN"/>
        </w:rPr>
        <w:t>摇珠</w:t>
      </w:r>
      <w:r>
        <w:rPr>
          <w:rFonts w:hint="eastAsia" w:ascii="宋体" w:hAnsi="宋体" w:eastAsia="宋体" w:cs="宋体"/>
          <w:color w:val="auto"/>
          <w:szCs w:val="21"/>
          <w:highlight w:val="none"/>
        </w:rPr>
        <w:t>方式，根据评标办法前附表中的规定抽取3个不同数值，3个数值的平均值即为下浮率k；</w:t>
      </w:r>
      <w:r>
        <w:rPr>
          <w:rFonts w:hint="eastAsia" w:ascii="宋体" w:hAnsi="宋体" w:cs="宋体"/>
          <w:color w:val="auto"/>
          <w:sz w:val="21"/>
          <w:szCs w:val="21"/>
          <w:highlight w:val="none"/>
          <w:lang w:val="en-US" w:eastAsia="zh-CN"/>
        </w:rPr>
        <w:t>具体详见投标人须知前附表；</w:t>
      </w:r>
    </w:p>
    <w:p w14:paraId="500328F6">
      <w:pPr>
        <w:pageBreakBefore w:val="0"/>
        <w:wordWrap/>
        <w:overflowPunct/>
        <w:topLinePunct w:val="0"/>
        <w:bidi w:val="0"/>
        <w:spacing w:beforeLines="0" w:afterLines="0" w:line="400" w:lineRule="exact"/>
        <w:ind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）招标人通过</w:t>
      </w:r>
      <w:r>
        <w:rPr>
          <w:rFonts w:hint="eastAsia" w:ascii="宋体" w:hAnsi="宋体" w:eastAsia="宋体" w:cs="宋体"/>
          <w:color w:val="auto"/>
          <w:szCs w:val="21"/>
          <w:highlight w:val="none"/>
          <w:lang w:val="en-US" w:eastAsia="zh-CN"/>
        </w:rPr>
        <w:t>摇珠</w:t>
      </w:r>
      <w:r>
        <w:rPr>
          <w:rFonts w:hint="eastAsia" w:ascii="宋体" w:hAnsi="宋体" w:eastAsia="宋体" w:cs="宋体"/>
          <w:color w:val="auto"/>
          <w:szCs w:val="21"/>
          <w:highlight w:val="none"/>
        </w:rPr>
        <w:t>方式，从0.4至0.8（以0.05递增）中抽取产生F1值；</w:t>
      </w:r>
      <w:r>
        <w:rPr>
          <w:rFonts w:hint="eastAsia" w:ascii="宋体" w:hAnsi="宋体" w:cs="宋体"/>
          <w:color w:val="auto"/>
          <w:sz w:val="21"/>
          <w:szCs w:val="21"/>
          <w:highlight w:val="none"/>
          <w:lang w:val="en-US" w:eastAsia="zh-CN"/>
        </w:rPr>
        <w:t>具体详见投标人须知前附表；</w:t>
      </w:r>
    </w:p>
    <w:p w14:paraId="3799EC66">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）开标结束。</w:t>
      </w:r>
    </w:p>
    <w:p w14:paraId="681431C3">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5.2.4 评标委员会成员不得参加开标会议。</w:t>
      </w:r>
    </w:p>
    <w:p w14:paraId="78AE5087">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7601984E">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5.3 开标异议</w:t>
      </w:r>
    </w:p>
    <w:p w14:paraId="1E5AFB3B">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5.3.1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投标人对开标有异议的，</w:t>
      </w:r>
      <w:r>
        <w:rPr>
          <w:rFonts w:hint="eastAsia" w:ascii="宋体" w:hAnsi="宋体" w:eastAsia="宋体" w:cs="宋体"/>
          <w:color w:val="auto"/>
          <w:sz w:val="21"/>
          <w:szCs w:val="21"/>
          <w:highlight w:val="none"/>
          <w:lang w:eastAsia="zh-CN"/>
        </w:rPr>
        <w:t>应当在开标时当场提出</w:t>
      </w:r>
      <w:r>
        <w:rPr>
          <w:rFonts w:hint="eastAsia" w:ascii="宋体" w:hAnsi="宋体" w:eastAsia="宋体" w:cs="宋体"/>
          <w:color w:val="auto"/>
          <w:sz w:val="21"/>
          <w:szCs w:val="21"/>
          <w:highlight w:val="none"/>
        </w:rPr>
        <w:t>，招标人当场作出答复，并制作记录</w:t>
      </w:r>
      <w:r>
        <w:rPr>
          <w:rFonts w:hint="eastAsia" w:ascii="宋体" w:hAnsi="宋体" w:eastAsia="宋体" w:cs="宋体"/>
          <w:color w:val="auto"/>
          <w:sz w:val="21"/>
          <w:szCs w:val="21"/>
          <w:highlight w:val="none"/>
          <w:lang w:eastAsia="zh-CN"/>
        </w:rPr>
        <w:t>。</w:t>
      </w:r>
    </w:p>
    <w:p w14:paraId="6634B419">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当开标过程发生争议无法确定投标文件的有效性时，则提交评标委员会裁决。</w:t>
      </w:r>
    </w:p>
    <w:p w14:paraId="69C81D9D">
      <w:pPr>
        <w:pStyle w:val="36"/>
        <w:pageBreakBefore w:val="0"/>
        <w:wordWrap/>
        <w:overflowPunct/>
        <w:topLinePunct w:val="0"/>
        <w:bidi w:val="0"/>
        <w:spacing w:before="0" w:beforeLines="0" w:line="400" w:lineRule="exact"/>
        <w:ind w:right="0"/>
        <w:outlineLvl w:val="9"/>
        <w:rPr>
          <w:rFonts w:hint="eastAsia" w:ascii="宋体" w:hAnsi="宋体" w:eastAsia="宋体" w:cs="宋体"/>
          <w:color w:val="auto"/>
          <w:highlight w:val="none"/>
        </w:rPr>
      </w:pPr>
    </w:p>
    <w:p w14:paraId="61DBAE5F">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6.评标</w:t>
      </w:r>
    </w:p>
    <w:p w14:paraId="1835CB06">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6.1 评标委员会</w:t>
      </w:r>
    </w:p>
    <w:p w14:paraId="633885B3">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 评标由招标人依法组建的评标委员会负责。评标委员会成员人数以及技术、经济等方面专家的确定方式见投标人须知前附表。</w:t>
      </w:r>
    </w:p>
    <w:p w14:paraId="65F1DD9D">
      <w:pPr>
        <w:pageBreakBefore w:val="0"/>
        <w:wordWrap/>
        <w:overflowPunct/>
        <w:topLinePunct w:val="0"/>
        <w:bidi w:val="0"/>
        <w:spacing w:beforeLines="0" w:afterLines="0" w:line="400" w:lineRule="exact"/>
        <w:ind w:right="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sz w:val="21"/>
          <w:szCs w:val="21"/>
          <w:highlight w:val="none"/>
        </w:rPr>
        <w:t>6.1.2 评标委员会成员有下列情形之一的，应当</w:t>
      </w:r>
      <w:r>
        <w:rPr>
          <w:rFonts w:hint="eastAsia" w:ascii="宋体" w:hAnsi="宋体" w:eastAsia="宋体" w:cs="宋体"/>
          <w:color w:val="auto"/>
          <w:sz w:val="21"/>
          <w:szCs w:val="21"/>
          <w:highlight w:val="none"/>
          <w:lang w:val="en-US" w:eastAsia="zh-CN"/>
        </w:rPr>
        <w:t>主动提出</w:t>
      </w:r>
      <w:r>
        <w:rPr>
          <w:rFonts w:hint="eastAsia" w:ascii="宋体" w:hAnsi="宋体" w:eastAsia="宋体" w:cs="宋体"/>
          <w:color w:val="auto"/>
          <w:sz w:val="21"/>
          <w:szCs w:val="21"/>
          <w:highlight w:val="none"/>
        </w:rPr>
        <w:t>回避：</w:t>
      </w:r>
    </w:p>
    <w:p w14:paraId="37C21700">
      <w:pPr>
        <w:pStyle w:val="37"/>
        <w:pageBreakBefore w:val="0"/>
        <w:numPr>
          <w:ilvl w:val="0"/>
          <w:numId w:val="0"/>
        </w:numPr>
        <w:wordWrap/>
        <w:overflowPunct/>
        <w:topLinePunct w:val="0"/>
        <w:bidi w:val="0"/>
        <w:spacing w:beforeLines="0" w:afterLines="0" w:line="400" w:lineRule="exact"/>
        <w:ind w:right="0" w:firstLine="630" w:firstLineChars="3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rPr>
        <w:t>招标项目的主管部门（包括上级管理部门）或者对该项目有监督职责的行</w:t>
      </w:r>
      <w:r>
        <w:rPr>
          <w:rFonts w:hint="eastAsia" w:ascii="宋体" w:hAnsi="宋体" w:eastAsia="宋体" w:cs="宋体"/>
          <w:color w:val="auto"/>
          <w:kern w:val="2"/>
          <w:sz w:val="21"/>
          <w:szCs w:val="21"/>
          <w:highlight w:val="none"/>
          <w:lang w:val="en-US" w:eastAsia="zh-CN"/>
        </w:rPr>
        <w:t>业主管</w:t>
      </w:r>
      <w:r>
        <w:rPr>
          <w:rFonts w:hint="eastAsia" w:ascii="宋体" w:hAnsi="宋体" w:eastAsia="宋体" w:cs="宋体"/>
          <w:color w:val="auto"/>
          <w:kern w:val="2"/>
          <w:sz w:val="21"/>
          <w:szCs w:val="21"/>
          <w:highlight w:val="none"/>
        </w:rPr>
        <w:t>部门的工作人员；</w:t>
      </w:r>
    </w:p>
    <w:p w14:paraId="2E18F52A">
      <w:pPr>
        <w:pStyle w:val="37"/>
        <w:pageBreakBefore w:val="0"/>
        <w:numPr>
          <w:ilvl w:val="0"/>
          <w:numId w:val="0"/>
        </w:numPr>
        <w:wordWrap/>
        <w:overflowPunct/>
        <w:topLinePunct w:val="0"/>
        <w:bidi w:val="0"/>
        <w:spacing w:beforeLines="0" w:afterLines="0" w:line="400" w:lineRule="exact"/>
        <w:ind w:left="0" w:right="0" w:firstLine="630" w:firstLineChars="3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招标项目的招标人、投标人的工作人员、退休或离职未满3年的人员；</w:t>
      </w:r>
    </w:p>
    <w:p w14:paraId="55A2B41C">
      <w:pPr>
        <w:pStyle w:val="37"/>
        <w:pageBreakBefore w:val="0"/>
        <w:numPr>
          <w:ilvl w:val="0"/>
          <w:numId w:val="0"/>
        </w:numPr>
        <w:wordWrap/>
        <w:overflowPunct/>
        <w:topLinePunct w:val="0"/>
        <w:bidi w:val="0"/>
        <w:spacing w:beforeLines="0" w:afterLines="0" w:line="400" w:lineRule="exact"/>
        <w:ind w:left="0" w:right="0" w:firstLine="630" w:firstLineChars="3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招标项目的招标人、投标人主要负责人的近亲属；</w:t>
      </w:r>
    </w:p>
    <w:p w14:paraId="62A3E69A">
      <w:pPr>
        <w:pStyle w:val="37"/>
        <w:pageBreakBefore w:val="0"/>
        <w:numPr>
          <w:ilvl w:val="0"/>
          <w:numId w:val="0"/>
        </w:numPr>
        <w:wordWrap/>
        <w:overflowPunct/>
        <w:topLinePunct w:val="0"/>
        <w:bidi w:val="0"/>
        <w:spacing w:beforeLines="0" w:afterLines="0" w:line="400" w:lineRule="exact"/>
        <w:ind w:left="0" w:right="0" w:firstLine="630" w:firstLineChars="3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与招标项目的投标人有直接利害关系，可能影响投标公正评审的；</w:t>
      </w:r>
    </w:p>
    <w:p w14:paraId="5908AFEB">
      <w:pPr>
        <w:pStyle w:val="37"/>
        <w:pageBreakBefore w:val="0"/>
        <w:numPr>
          <w:ilvl w:val="0"/>
          <w:numId w:val="0"/>
        </w:numPr>
        <w:wordWrap/>
        <w:overflowPunct/>
        <w:topLinePunct w:val="0"/>
        <w:bidi w:val="0"/>
        <w:spacing w:beforeLines="0" w:afterLines="0" w:line="400" w:lineRule="exact"/>
        <w:ind w:left="840" w:leftChars="300" w:right="0" w:hanging="210" w:hangingChars="10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曾因在招标、评标以及其他与招标投标有关活动中从事违法行为而受过行政处罚或刑事处罚的；</w:t>
      </w:r>
    </w:p>
    <w:p w14:paraId="02D1ED30">
      <w:pPr>
        <w:pStyle w:val="37"/>
        <w:pageBreakBefore w:val="0"/>
        <w:numPr>
          <w:ilvl w:val="0"/>
          <w:numId w:val="0"/>
        </w:numPr>
        <w:wordWrap/>
        <w:overflowPunct/>
        <w:topLinePunct w:val="0"/>
        <w:bidi w:val="0"/>
        <w:spacing w:beforeLines="0" w:afterLines="0" w:line="400" w:lineRule="exact"/>
        <w:ind w:left="1260" w:leftChars="300" w:right="0" w:hanging="630" w:hangingChars="30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sz w:val="21"/>
          <w:szCs w:val="21"/>
          <w:highlight w:val="none"/>
        </w:rPr>
        <w:t>有关</w:t>
      </w:r>
      <w:r>
        <w:rPr>
          <w:rFonts w:hint="eastAsia" w:ascii="宋体" w:hAnsi="宋体" w:eastAsia="宋体" w:cs="宋体"/>
          <w:color w:val="auto"/>
          <w:sz w:val="21"/>
          <w:szCs w:val="21"/>
          <w:highlight w:val="none"/>
          <w:lang w:eastAsia="zh-CN"/>
        </w:rPr>
        <w:t>法律、法规、规章、规范性文件以及国家、省、市各级政府部门工作文件</w:t>
      </w:r>
      <w:r>
        <w:rPr>
          <w:rFonts w:hint="eastAsia" w:ascii="宋体" w:hAnsi="宋体" w:eastAsia="宋体" w:cs="宋体"/>
          <w:color w:val="auto"/>
          <w:sz w:val="21"/>
          <w:szCs w:val="21"/>
          <w:highlight w:val="none"/>
        </w:rPr>
        <w:t>规定的其他情形</w:t>
      </w:r>
      <w:r>
        <w:rPr>
          <w:rFonts w:hint="eastAsia" w:ascii="宋体" w:hAnsi="宋体" w:eastAsia="宋体" w:cs="宋体"/>
          <w:color w:val="auto"/>
          <w:kern w:val="2"/>
          <w:sz w:val="21"/>
          <w:szCs w:val="21"/>
          <w:highlight w:val="none"/>
          <w:lang w:val="en-US" w:eastAsia="zh-CN"/>
        </w:rPr>
        <w:t>。</w:t>
      </w:r>
    </w:p>
    <w:p w14:paraId="1C57E338">
      <w:pPr>
        <w:pStyle w:val="37"/>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6.1.3 评标过程中，评标委员会成员有回避事由、擅离职守或者因健康等原因不能继续评标的，应当及时更换。被更换的评标委员会成员作出的评审结论无效，由更换后的评标委员会成员重新进行评审。</w:t>
      </w:r>
    </w:p>
    <w:p w14:paraId="5762886C">
      <w:pPr>
        <w:pStyle w:val="37"/>
        <w:pageBreakBefore w:val="0"/>
        <w:wordWrap/>
        <w:overflowPunct/>
        <w:topLinePunct w:val="0"/>
        <w:bidi w:val="0"/>
        <w:spacing w:beforeLines="0" w:afterLines="0" w:line="400" w:lineRule="exact"/>
        <w:ind w:right="0"/>
        <w:rPr>
          <w:rFonts w:hint="eastAsia" w:ascii="宋体" w:hAnsi="宋体" w:eastAsia="宋体" w:cs="宋体"/>
          <w:color w:val="auto"/>
          <w:highlight w:val="none"/>
        </w:rPr>
      </w:pPr>
    </w:p>
    <w:p w14:paraId="43DDAFC0">
      <w:pPr>
        <w:pStyle w:val="7"/>
        <w:pageBreakBefore w:val="0"/>
        <w:wordWrap/>
        <w:overflowPunct/>
        <w:topLinePunct w:val="0"/>
        <w:bidi w:val="0"/>
        <w:spacing w:beforeLines="0" w:afterLines="0" w:line="400" w:lineRule="exact"/>
        <w:ind w:right="0"/>
        <w:rPr>
          <w:rFonts w:hint="eastAsia" w:ascii="宋体" w:hAnsi="宋体" w:eastAsia="宋体" w:cs="宋体"/>
          <w:color w:val="auto"/>
          <w:highlight w:val="none"/>
        </w:rPr>
      </w:pPr>
      <w:r>
        <w:rPr>
          <w:rFonts w:hint="eastAsia" w:ascii="宋体" w:hAnsi="宋体" w:eastAsia="宋体" w:cs="宋体"/>
          <w:color w:val="auto"/>
          <w:sz w:val="22"/>
          <w:szCs w:val="22"/>
          <w:highlight w:val="none"/>
        </w:rPr>
        <w:t>6.2 评标原则</w:t>
      </w:r>
      <w:r>
        <w:rPr>
          <w:rFonts w:hint="eastAsia" w:ascii="宋体" w:hAnsi="宋体" w:eastAsia="宋体" w:cs="宋体"/>
          <w:color w:val="auto"/>
          <w:highlight w:val="none"/>
        </w:rPr>
        <w:tab/>
      </w:r>
    </w:p>
    <w:p w14:paraId="232E1E26">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评标活动遵循公平、公正、科学和择优的原则。</w:t>
      </w:r>
    </w:p>
    <w:p w14:paraId="473F2384">
      <w:pPr>
        <w:pageBreakBefore w:val="0"/>
        <w:wordWrap/>
        <w:overflowPunct/>
        <w:topLinePunct w:val="0"/>
        <w:bidi w:val="0"/>
        <w:spacing w:beforeLines="0" w:afterLines="0" w:line="400" w:lineRule="exact"/>
        <w:ind w:right="0" w:firstLine="480" w:firstLineChars="200"/>
        <w:rPr>
          <w:rFonts w:hint="eastAsia" w:ascii="宋体" w:hAnsi="宋体" w:eastAsia="宋体" w:cs="宋体"/>
          <w:color w:val="auto"/>
          <w:sz w:val="24"/>
          <w:highlight w:val="none"/>
        </w:rPr>
      </w:pPr>
    </w:p>
    <w:p w14:paraId="7D7384E6">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6.3 评标</w:t>
      </w:r>
    </w:p>
    <w:p w14:paraId="49B7F9F9">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评标委员会按照第四章“</w:t>
      </w:r>
      <w:r>
        <w:rPr>
          <w:rFonts w:hint="eastAsia" w:ascii="宋体" w:hAnsi="宋体" w:eastAsia="宋体" w:cs="宋体"/>
          <w:color w:val="auto"/>
          <w:sz w:val="21"/>
          <w:szCs w:val="21"/>
          <w:highlight w:val="none"/>
          <w:lang w:eastAsia="zh-CN"/>
        </w:rPr>
        <w:t>评标办法</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规定的方法、评审因素、标准和程序对投标文件进行评审。第四章“</w:t>
      </w:r>
      <w:r>
        <w:rPr>
          <w:rFonts w:hint="eastAsia" w:ascii="宋体" w:hAnsi="宋体" w:eastAsia="宋体" w:cs="宋体"/>
          <w:color w:val="auto"/>
          <w:sz w:val="21"/>
          <w:szCs w:val="21"/>
          <w:highlight w:val="none"/>
          <w:lang w:eastAsia="zh-CN"/>
        </w:rPr>
        <w:t>评标办法</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没有规定的方法、评审因素和标准，不作为评标依据。</w:t>
      </w:r>
    </w:p>
    <w:p w14:paraId="5EB72665">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6.3.</w:t>
      </w:r>
      <w:r>
        <w:rPr>
          <w:rFonts w:hint="eastAsia" w:ascii="宋体" w:hAnsi="宋体" w:eastAsia="宋体" w:cs="宋体"/>
          <w:color w:val="auto"/>
          <w:sz w:val="21"/>
          <w:szCs w:val="21"/>
          <w:highlight w:val="none"/>
          <w:lang w:val="en-US" w:eastAsia="zh-CN"/>
        </w:rPr>
        <w:t xml:space="preserve">2 </w:t>
      </w:r>
      <w:r>
        <w:rPr>
          <w:rFonts w:hint="eastAsia" w:ascii="宋体" w:hAnsi="宋体" w:eastAsia="宋体" w:cs="宋体"/>
          <w:color w:val="auto"/>
          <w:sz w:val="21"/>
          <w:szCs w:val="21"/>
          <w:highlight w:val="none"/>
        </w:rPr>
        <w:t>评标完成后，评标委员会应当向招标人提交书面评标报告和中标候选人名单。</w:t>
      </w:r>
    </w:p>
    <w:p w14:paraId="578F37B0">
      <w:pPr>
        <w:keepNext w:val="0"/>
        <w:keepLines w:val="0"/>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lang w:val="en-US" w:eastAsia="zh-CN"/>
        </w:rPr>
      </w:pPr>
    </w:p>
    <w:p w14:paraId="07C83AD2">
      <w:pPr>
        <w:pStyle w:val="7"/>
        <w:keepNext w:val="0"/>
        <w:keepLines w:val="0"/>
        <w:pageBreakBefore w:val="0"/>
        <w:wordWrap/>
        <w:overflowPunct/>
        <w:topLinePunct w:val="0"/>
        <w:bidi w:val="0"/>
        <w:spacing w:beforeLines="0" w:afterLines="0" w:line="400" w:lineRule="exact"/>
        <w:ind w:right="0"/>
        <w:rPr>
          <w:rFonts w:hint="eastAsia" w:ascii="宋体" w:hAnsi="宋体" w:eastAsia="宋体" w:cs="宋体"/>
          <w:b/>
          <w:color w:val="auto"/>
          <w:sz w:val="22"/>
          <w:szCs w:val="22"/>
          <w:highlight w:val="none"/>
          <w:lang w:val="en-US" w:eastAsia="zh-CN"/>
        </w:rPr>
      </w:pPr>
      <w:r>
        <w:rPr>
          <w:rFonts w:hint="eastAsia" w:ascii="宋体" w:hAnsi="宋体" w:eastAsia="宋体" w:cs="宋体"/>
          <w:color w:val="auto"/>
          <w:sz w:val="22"/>
          <w:szCs w:val="22"/>
          <w:highlight w:val="none"/>
          <w:lang w:val="en-US" w:eastAsia="zh-CN"/>
        </w:rPr>
        <w:t>6.4 推荐中</w:t>
      </w:r>
      <w:r>
        <w:rPr>
          <w:rFonts w:hint="eastAsia" w:ascii="宋体" w:hAnsi="宋体" w:eastAsia="宋体" w:cs="宋体"/>
          <w:color w:val="auto"/>
          <w:sz w:val="22"/>
          <w:szCs w:val="22"/>
          <w:highlight w:val="none"/>
        </w:rPr>
        <w:t>标候选人</w:t>
      </w:r>
    </w:p>
    <w:p w14:paraId="5F9A4F3E">
      <w:pPr>
        <w:pageBreakBefore w:val="0"/>
        <w:wordWrap/>
        <w:overflowPunct/>
        <w:topLinePunct w:val="0"/>
        <w:bidi w:val="0"/>
        <w:spacing w:beforeLines="0" w:afterLines="0" w:line="400" w:lineRule="exact"/>
        <w:ind w:left="0" w:leftChars="0" w:right="0" w:firstLine="420" w:firstLineChars="200"/>
        <w:outlineLvl w:val="9"/>
        <w:rPr>
          <w:rFonts w:hint="eastAsia" w:ascii="宋体" w:hAnsi="宋体" w:eastAsia="宋体" w:cs="宋体"/>
          <w:color w:val="auto"/>
          <w:sz w:val="22"/>
          <w:szCs w:val="22"/>
          <w:highlight w:val="none"/>
          <w:lang w:val="en-US" w:eastAsia="zh-CN"/>
        </w:rPr>
      </w:pPr>
      <w:r>
        <w:rPr>
          <w:rFonts w:hint="eastAsia" w:ascii="宋体" w:hAnsi="宋体"/>
          <w:b w:val="0"/>
          <w:bCs w:val="0"/>
          <w:color w:val="auto"/>
          <w:sz w:val="21"/>
          <w:szCs w:val="21"/>
          <w:highlight w:val="none"/>
        </w:rPr>
        <w:t>评标委员会</w:t>
      </w:r>
      <w:r>
        <w:rPr>
          <w:rFonts w:hint="eastAsia" w:ascii="宋体" w:hAnsi="宋体"/>
          <w:b w:val="0"/>
          <w:bCs w:val="0"/>
          <w:color w:val="auto"/>
          <w:sz w:val="21"/>
          <w:szCs w:val="21"/>
          <w:highlight w:val="none"/>
          <w:lang w:eastAsia="zh-CN"/>
        </w:rPr>
        <w:t>按照招标文件要求</w:t>
      </w:r>
      <w:r>
        <w:rPr>
          <w:rFonts w:hint="eastAsia" w:ascii="宋体" w:hAnsi="宋体"/>
          <w:b w:val="0"/>
          <w:bCs w:val="0"/>
          <w:color w:val="auto"/>
          <w:sz w:val="21"/>
          <w:szCs w:val="21"/>
          <w:highlight w:val="none"/>
        </w:rPr>
        <w:t>推荐</w:t>
      </w:r>
      <w:r>
        <w:rPr>
          <w:rFonts w:hint="eastAsia" w:ascii="宋体" w:hAnsi="宋体"/>
          <w:b w:val="0"/>
          <w:bCs w:val="0"/>
          <w:color w:val="auto"/>
          <w:sz w:val="21"/>
          <w:szCs w:val="21"/>
          <w:highlight w:val="none"/>
          <w:lang w:eastAsia="zh-CN"/>
        </w:rPr>
        <w:t>中</w:t>
      </w:r>
      <w:r>
        <w:rPr>
          <w:rFonts w:hint="eastAsia" w:ascii="宋体" w:hAnsi="宋体"/>
          <w:b w:val="0"/>
          <w:bCs w:val="0"/>
          <w:color w:val="auto"/>
          <w:sz w:val="21"/>
          <w:szCs w:val="21"/>
          <w:highlight w:val="none"/>
        </w:rPr>
        <w:t>标候选人</w:t>
      </w:r>
      <w:r>
        <w:rPr>
          <w:rFonts w:hint="eastAsia" w:ascii="宋体" w:hAnsi="宋体"/>
          <w:b w:val="0"/>
          <w:bCs w:val="0"/>
          <w:color w:val="auto"/>
          <w:sz w:val="21"/>
          <w:szCs w:val="21"/>
          <w:highlight w:val="none"/>
          <w:lang w:eastAsia="zh-CN"/>
        </w:rPr>
        <w:t>，中</w:t>
      </w:r>
      <w:r>
        <w:rPr>
          <w:rFonts w:hint="eastAsia" w:ascii="宋体" w:hAnsi="宋体"/>
          <w:b w:val="0"/>
          <w:bCs w:val="0"/>
          <w:color w:val="auto"/>
          <w:sz w:val="21"/>
          <w:szCs w:val="21"/>
          <w:highlight w:val="none"/>
        </w:rPr>
        <w:t>标候选人的人数见投标人须知前附表。</w:t>
      </w:r>
    </w:p>
    <w:p w14:paraId="3C8C598A">
      <w:pPr>
        <w:keepNext w:val="0"/>
        <w:keepLines w:val="0"/>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lang w:val="en-US" w:eastAsia="zh-CN"/>
        </w:rPr>
      </w:pPr>
    </w:p>
    <w:p w14:paraId="34BAD8F2">
      <w:pPr>
        <w:pStyle w:val="7"/>
        <w:keepNext w:val="0"/>
        <w:keepLines w:val="0"/>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6.5</w:t>
      </w:r>
      <w:r>
        <w:rPr>
          <w:rFonts w:hint="eastAsia" w:ascii="宋体" w:hAnsi="宋体" w:eastAsia="宋体" w:cs="宋体"/>
          <w:color w:val="auto"/>
          <w:sz w:val="22"/>
          <w:szCs w:val="22"/>
          <w:highlight w:val="none"/>
        </w:rPr>
        <w:t xml:space="preserve"> 中标候选人、评标过程及评标结果公示</w:t>
      </w:r>
    </w:p>
    <w:p w14:paraId="492F52C1">
      <w:pPr>
        <w:pageBreakBefore w:val="0"/>
        <w:wordWrap/>
        <w:overflowPunct/>
        <w:topLinePunct w:val="0"/>
        <w:bidi w:val="0"/>
        <w:spacing w:beforeLines="0" w:afterLines="0" w:line="400" w:lineRule="exact"/>
        <w:ind w:left="420" w:leftChars="200" w:right="0" w:firstLine="0" w:firstLineChars="0"/>
        <w:rPr>
          <w:rFonts w:hint="eastAsia" w:ascii="宋体" w:hAnsi="宋体"/>
          <w:color w:val="auto"/>
          <w:sz w:val="21"/>
          <w:szCs w:val="21"/>
          <w:highlight w:val="none"/>
        </w:rPr>
      </w:pPr>
      <w:r>
        <w:rPr>
          <w:rFonts w:hint="eastAsia" w:ascii="宋体" w:hAnsi="宋体"/>
          <w:color w:val="auto"/>
          <w:sz w:val="21"/>
          <w:szCs w:val="21"/>
          <w:highlight w:val="none"/>
        </w:rPr>
        <w:t>见投标人须知前附表</w:t>
      </w:r>
      <w:r>
        <w:rPr>
          <w:rFonts w:hint="eastAsia" w:ascii="宋体" w:hAnsi="宋体" w:eastAsia="宋体" w:cs="Times New Roman"/>
          <w:color w:val="auto"/>
          <w:sz w:val="21"/>
          <w:szCs w:val="21"/>
          <w:highlight w:val="none"/>
          <w:lang w:val="en-US" w:eastAsia="zh-CN"/>
        </w:rPr>
        <w:t>。</w:t>
      </w:r>
    </w:p>
    <w:p w14:paraId="63AFA51A">
      <w:pPr>
        <w:pageBreakBefore w:val="0"/>
        <w:wordWrap/>
        <w:overflowPunct/>
        <w:topLinePunct w:val="0"/>
        <w:bidi w:val="0"/>
        <w:spacing w:beforeLines="0" w:afterLines="0" w:line="400" w:lineRule="exact"/>
        <w:ind w:right="0"/>
        <w:rPr>
          <w:rFonts w:hint="eastAsia"/>
          <w:color w:val="auto"/>
          <w:highlight w:val="none"/>
          <w:lang w:eastAsia="zh-CN"/>
        </w:rPr>
      </w:pPr>
    </w:p>
    <w:p w14:paraId="2D013B4B">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中标、</w:t>
      </w:r>
      <w:r>
        <w:rPr>
          <w:rFonts w:hint="eastAsia" w:ascii="宋体" w:hAnsi="宋体" w:eastAsia="宋体" w:cs="宋体"/>
          <w:color w:val="auto"/>
          <w:sz w:val="22"/>
          <w:szCs w:val="22"/>
          <w:highlight w:val="none"/>
          <w:lang w:eastAsia="zh-CN"/>
        </w:rPr>
        <w:t>公示及</w:t>
      </w:r>
      <w:r>
        <w:rPr>
          <w:rFonts w:hint="eastAsia" w:ascii="宋体" w:hAnsi="宋体" w:eastAsia="宋体" w:cs="宋体"/>
          <w:color w:val="auto"/>
          <w:sz w:val="22"/>
          <w:szCs w:val="22"/>
          <w:highlight w:val="none"/>
        </w:rPr>
        <w:t>合同授予</w:t>
      </w:r>
    </w:p>
    <w:p w14:paraId="639688B7">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eastAsia="zh-CN"/>
        </w:rPr>
        <w:t>中标</w:t>
      </w:r>
    </w:p>
    <w:p w14:paraId="1750F9EF">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 经公示无异议后，招标人确定第一中标候选人为中标人。</w:t>
      </w:r>
    </w:p>
    <w:p w14:paraId="067F90DC">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.2 </w:t>
      </w:r>
      <w:r>
        <w:rPr>
          <w:rFonts w:hint="eastAsia" w:ascii="宋体" w:hAnsi="宋体" w:eastAsia="宋体" w:cs="宋体"/>
          <w:color w:val="auto"/>
          <w:sz w:val="21"/>
          <w:szCs w:val="21"/>
          <w:highlight w:val="none"/>
          <w:lang w:val="en-US" w:eastAsia="zh-CN"/>
        </w:rPr>
        <w:t>排名第一的中标候选人放弃中标、因不可抗力提出不能履行合同、不按照招标文件的要求提交履约保证金，或者被查实存在影响中标结果的违法行为等情形，不符合中标条件的，招标人可以按照评标委员会提出的中标候选人名单排序依次确定其他中标候选人为中标人，也可以重新招标</w:t>
      </w:r>
      <w:r>
        <w:rPr>
          <w:rFonts w:hint="eastAsia" w:ascii="宋体" w:hAnsi="宋体" w:eastAsia="宋体" w:cs="宋体"/>
          <w:color w:val="auto"/>
          <w:sz w:val="21"/>
          <w:szCs w:val="21"/>
          <w:highlight w:val="none"/>
        </w:rPr>
        <w:t>。</w:t>
      </w:r>
    </w:p>
    <w:p w14:paraId="059CC83A">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.3 中标人的投标报价为中标价。</w:t>
      </w:r>
    </w:p>
    <w:p w14:paraId="6CF6D155">
      <w:pPr>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rPr>
      </w:pPr>
    </w:p>
    <w:p w14:paraId="32B45F32">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 xml:space="preserve"> 中标通知</w:t>
      </w:r>
    </w:p>
    <w:p w14:paraId="70344462">
      <w:pPr>
        <w:pageBreakBefore w:val="0"/>
        <w:wordWrap/>
        <w:overflowPunct/>
        <w:topLinePunct w:val="0"/>
        <w:bidi w:val="0"/>
        <w:spacing w:beforeLines="0" w:afterLines="0" w:line="400" w:lineRule="exact"/>
        <w:ind w:left="420" w:leftChars="0" w:right="0" w:hanging="420" w:hanging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招标人应当在中标人确定之日起7日内，向中标人发出中标通知书，并同时将中标结果通知所有未中标的投标人。</w:t>
      </w:r>
    </w:p>
    <w:p w14:paraId="769FC773">
      <w:pPr>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rPr>
      </w:pPr>
    </w:p>
    <w:p w14:paraId="5560D903">
      <w:pPr>
        <w:pStyle w:val="7"/>
        <w:pageBreakBefore w:val="0"/>
        <w:wordWrap/>
        <w:overflowPunct/>
        <w:topLinePunct w:val="0"/>
        <w:bidi w:val="0"/>
        <w:spacing w:beforeLines="0" w:afterLines="0" w:line="400" w:lineRule="exact"/>
        <w:ind w:right="0"/>
        <w:rPr>
          <w:rFonts w:hint="eastAsia" w:ascii="宋体" w:hAnsi="宋体" w:eastAsia="宋体" w:cs="宋体"/>
          <w:color w:val="auto"/>
          <w:sz w:val="24"/>
          <w:szCs w:val="24"/>
          <w:highlight w:val="none"/>
          <w:lang w:eastAsia="zh-CN"/>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 xml:space="preserve">3 </w:t>
      </w:r>
      <w:r>
        <w:rPr>
          <w:rFonts w:hint="eastAsia" w:ascii="宋体" w:hAnsi="宋体" w:eastAsia="宋体" w:cs="宋体"/>
          <w:color w:val="auto"/>
          <w:sz w:val="24"/>
          <w:szCs w:val="24"/>
          <w:highlight w:val="none"/>
        </w:rPr>
        <w:t xml:space="preserve">技术成果经济补偿 </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如有</w:t>
      </w:r>
      <w:r>
        <w:rPr>
          <w:rFonts w:hint="eastAsia" w:ascii="宋体" w:hAnsi="宋体" w:cs="宋体"/>
          <w:color w:val="auto"/>
          <w:sz w:val="24"/>
          <w:szCs w:val="24"/>
          <w:highlight w:val="none"/>
          <w:lang w:eastAsia="zh-CN"/>
        </w:rPr>
        <w:t>）</w:t>
      </w:r>
    </w:p>
    <w:p w14:paraId="57C7AD35">
      <w:pPr>
        <w:pageBreakBefore w:val="0"/>
        <w:wordWrap/>
        <w:overflowPunct/>
        <w:topLinePunct w:val="0"/>
        <w:bidi w:val="0"/>
        <w:spacing w:beforeLines="0" w:afterLines="0" w:line="400" w:lineRule="exact"/>
        <w:ind w:left="420" w:leftChars="20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招标人对符合招标文件规定的未中标人的技术成果进行补偿的，招标人将按投标人须知前附表规定的标准给予经济补偿，未中标人在投标文件中声明放弃技术成果经济补偿费的除外。 招标人将于中标通知书发出后30日内向未中标人支付技术成果经济补偿费。</w:t>
      </w:r>
    </w:p>
    <w:p w14:paraId="2BCC970E">
      <w:pPr>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rPr>
      </w:pPr>
    </w:p>
    <w:p w14:paraId="495A5853">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 xml:space="preserve"> 履约</w:t>
      </w:r>
      <w:r>
        <w:rPr>
          <w:rFonts w:hint="eastAsia" w:ascii="宋体" w:hAnsi="宋体" w:eastAsia="宋体" w:cs="宋体"/>
          <w:color w:val="auto"/>
          <w:sz w:val="22"/>
          <w:szCs w:val="22"/>
          <w:highlight w:val="none"/>
          <w:lang w:val="en-US" w:eastAsia="zh-CN"/>
        </w:rPr>
        <w:t>保证金</w:t>
      </w:r>
    </w:p>
    <w:p w14:paraId="147413FF">
      <w:pPr>
        <w:pageBreakBefore w:val="0"/>
        <w:wordWrap/>
        <w:overflowPunct/>
        <w:topLinePunct w:val="0"/>
        <w:bidi w:val="0"/>
        <w:spacing w:beforeLines="0" w:afterLines="0" w:line="400" w:lineRule="exact"/>
        <w:ind w:left="63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 中标人应按投标人须知前附表规定的金额、形式和招标文件第</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章“合同条款及格式”规定的格式向招标人提交履约</w:t>
      </w:r>
      <w:r>
        <w:rPr>
          <w:rFonts w:hint="eastAsia" w:ascii="宋体" w:hAnsi="宋体" w:eastAsia="宋体" w:cs="宋体"/>
          <w:color w:val="auto"/>
          <w:sz w:val="21"/>
          <w:szCs w:val="21"/>
          <w:highlight w:val="none"/>
          <w:lang w:val="en-US" w:eastAsia="zh-CN"/>
        </w:rPr>
        <w:t>保证金</w:t>
      </w:r>
      <w:r>
        <w:rPr>
          <w:rFonts w:hint="eastAsia" w:ascii="宋体" w:hAnsi="宋体" w:eastAsia="宋体" w:cs="宋体"/>
          <w:color w:val="auto"/>
          <w:sz w:val="21"/>
          <w:szCs w:val="21"/>
          <w:highlight w:val="none"/>
        </w:rPr>
        <w:t>。联合体中标的，其履约</w:t>
      </w:r>
      <w:r>
        <w:rPr>
          <w:rFonts w:hint="eastAsia" w:ascii="宋体" w:hAnsi="宋体" w:eastAsia="宋体" w:cs="宋体"/>
          <w:color w:val="auto"/>
          <w:sz w:val="21"/>
          <w:szCs w:val="21"/>
          <w:highlight w:val="none"/>
          <w:lang w:val="en-US" w:eastAsia="zh-CN"/>
        </w:rPr>
        <w:t>保证金</w:t>
      </w:r>
      <w:r>
        <w:rPr>
          <w:rFonts w:hint="eastAsia" w:ascii="宋体" w:hAnsi="宋体" w:eastAsia="宋体" w:cs="宋体"/>
          <w:color w:val="auto"/>
          <w:sz w:val="21"/>
          <w:szCs w:val="21"/>
          <w:highlight w:val="none"/>
        </w:rPr>
        <w:t>由牵头人递交，并应符合投标人须知前附表规定的金额、形式和招标文件第</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章“合同条款及格式”规定的格式要求。</w:t>
      </w:r>
    </w:p>
    <w:p w14:paraId="184D046C">
      <w:pPr>
        <w:pageBreakBefore w:val="0"/>
        <w:wordWrap/>
        <w:overflowPunct/>
        <w:topLinePunct w:val="0"/>
        <w:bidi w:val="0"/>
        <w:spacing w:beforeLines="0" w:afterLines="0" w:line="400" w:lineRule="exact"/>
        <w:ind w:left="63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中标人不能按本章第</w:t>
      </w: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.1项要求提交履约</w:t>
      </w:r>
      <w:r>
        <w:rPr>
          <w:rFonts w:hint="eastAsia" w:ascii="宋体" w:hAnsi="宋体" w:eastAsia="宋体" w:cs="宋体"/>
          <w:color w:val="auto"/>
          <w:sz w:val="21"/>
          <w:szCs w:val="21"/>
          <w:highlight w:val="none"/>
          <w:lang w:val="en-US" w:eastAsia="zh-CN"/>
        </w:rPr>
        <w:t>保证金</w:t>
      </w:r>
      <w:r>
        <w:rPr>
          <w:rFonts w:hint="eastAsia" w:ascii="宋体" w:hAnsi="宋体" w:eastAsia="宋体" w:cs="宋体"/>
          <w:color w:val="auto"/>
          <w:sz w:val="21"/>
          <w:szCs w:val="21"/>
          <w:highlight w:val="none"/>
        </w:rPr>
        <w:t>的，视为放弃中标，其投标保证金不予退还，给招标人造成的损失超过履约保证金数额的，还应当对超过部分予以赔偿。</w:t>
      </w:r>
    </w:p>
    <w:p w14:paraId="6CD12ACA">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24FDB543">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 xml:space="preserve">5 </w:t>
      </w:r>
      <w:r>
        <w:rPr>
          <w:rFonts w:hint="eastAsia" w:ascii="宋体" w:hAnsi="宋体" w:eastAsia="宋体" w:cs="宋体"/>
          <w:color w:val="auto"/>
          <w:sz w:val="22"/>
          <w:szCs w:val="22"/>
          <w:highlight w:val="none"/>
        </w:rPr>
        <w:t>签订合同</w:t>
      </w:r>
    </w:p>
    <w:p w14:paraId="1D954884">
      <w:pPr>
        <w:pageBreakBefore w:val="0"/>
        <w:wordWrap/>
        <w:overflowPunct/>
        <w:topLinePunct w:val="0"/>
        <w:bidi w:val="0"/>
        <w:spacing w:beforeLines="0" w:afterLines="0" w:line="400" w:lineRule="exact"/>
        <w:ind w:left="63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招标人和中标人应当自中标通知书发出之日起30</w:t>
      </w:r>
      <w:r>
        <w:rPr>
          <w:rFonts w:hint="eastAsia" w:ascii="宋体" w:hAnsi="宋体" w:eastAsia="宋体" w:cs="宋体"/>
          <w:color w:val="auto"/>
          <w:sz w:val="21"/>
          <w:szCs w:val="21"/>
          <w:highlight w:val="none"/>
          <w:lang w:eastAsia="zh-CN"/>
        </w:rPr>
        <w:t>日</w:t>
      </w:r>
      <w:r>
        <w:rPr>
          <w:rFonts w:hint="eastAsia" w:ascii="宋体" w:hAnsi="宋体" w:eastAsia="宋体" w:cs="宋体"/>
          <w:color w:val="auto"/>
          <w:sz w:val="21"/>
          <w:szCs w:val="21"/>
          <w:highlight w:val="none"/>
        </w:rPr>
        <w:t xml:space="preserve">内，根据招标文件和中标人的投标文件订立书面合同。中标人无正当理由拒签合同，在签订合同时向招标人提出附加条件或者更改合同实质性内容的，或者不按照招标文件要求提交履约保证金的，招标人取消其中标资格，其投标保证金不予退还；给招标人造成的损失超过投标保证金数额的，中标人还应当对超过部分予以赔偿。 </w:t>
      </w:r>
    </w:p>
    <w:p w14:paraId="194D0116">
      <w:pPr>
        <w:pageBreakBefore w:val="0"/>
        <w:wordWrap/>
        <w:overflowPunct/>
        <w:topLinePunct w:val="0"/>
        <w:bidi w:val="0"/>
        <w:spacing w:beforeLines="0" w:afterLines="0" w:line="400" w:lineRule="exact"/>
        <w:ind w:left="63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发出中标通知书后，招标人无正当理由拒签合同，或者在签订合同时向中标人提出附加条件的，招标人向中标人退还投标保证金；给中标人造成损失的，还应当赔偿损失。 </w:t>
      </w:r>
    </w:p>
    <w:p w14:paraId="554AD41D">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在签订合同之前，招标人可以根据招标文件及中标人的投标文件约谈项目管理机构主要人员。中标人应积极配合，否则，须自行承担由此造成的一切延误后果。中标人更换项目管理机构主要人员的，应按相关规定经过批准，且更换的人员不得低于原拟派人员的所有条件。</w:t>
      </w:r>
    </w:p>
    <w:p w14:paraId="262F18D6">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签订合同时，签约双方应出示法定代表人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证明书或其代理人授权书。</w:t>
      </w:r>
    </w:p>
    <w:p w14:paraId="2A50D47A">
      <w:pPr>
        <w:pageBreakBefore w:val="0"/>
        <w:wordWrap/>
        <w:overflowPunct/>
        <w:topLinePunct w:val="0"/>
        <w:bidi w:val="0"/>
        <w:spacing w:beforeLines="0" w:afterLines="0" w:line="400" w:lineRule="exact"/>
        <w:ind w:left="1260" w:right="0" w:hanging="1260" w:hangingChars="6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 联合体中标的，联合体各方应当共同与招标人签订合同，就中标项目向招标人承担连带责任。</w:t>
      </w:r>
    </w:p>
    <w:p w14:paraId="46D22611">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w:t>
      </w:r>
      <w:r>
        <w:rPr>
          <w:rFonts w:hint="eastAsia" w:ascii="宋体" w:hAnsi="宋体" w:eastAsia="宋体" w:cs="宋体"/>
          <w:b w:val="0"/>
          <w:i w:val="0"/>
          <w:caps w:val="0"/>
          <w:color w:val="auto"/>
          <w:spacing w:val="0"/>
          <w:sz w:val="21"/>
          <w:szCs w:val="21"/>
          <w:highlight w:val="none"/>
          <w:shd w:val="clear" w:color="auto" w:fill="FFFFFF"/>
        </w:rPr>
        <w:t>中标人</w:t>
      </w:r>
      <w:r>
        <w:rPr>
          <w:rFonts w:hint="eastAsia" w:ascii="宋体" w:hAnsi="宋体" w:eastAsia="宋体" w:cs="宋体"/>
          <w:color w:val="auto"/>
          <w:sz w:val="21"/>
          <w:szCs w:val="21"/>
          <w:highlight w:val="none"/>
          <w:lang w:val="en-US" w:eastAsia="zh-CN"/>
        </w:rPr>
        <w:t>因本章第</w:t>
      </w: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项</w:t>
      </w:r>
      <w:r>
        <w:rPr>
          <w:rFonts w:hint="eastAsia" w:ascii="宋体" w:hAnsi="宋体" w:eastAsia="宋体" w:cs="宋体"/>
          <w:color w:val="auto"/>
          <w:sz w:val="21"/>
          <w:szCs w:val="21"/>
          <w:highlight w:val="none"/>
          <w:lang w:eastAsia="zh-CN"/>
        </w:rPr>
        <w:t>被</w:t>
      </w:r>
      <w:r>
        <w:rPr>
          <w:rFonts w:hint="eastAsia" w:ascii="宋体" w:hAnsi="宋体" w:eastAsia="宋体" w:cs="宋体"/>
          <w:b w:val="0"/>
          <w:i w:val="0"/>
          <w:caps w:val="0"/>
          <w:color w:val="auto"/>
          <w:spacing w:val="0"/>
          <w:sz w:val="21"/>
          <w:szCs w:val="21"/>
          <w:highlight w:val="none"/>
          <w:shd w:val="clear" w:color="auto" w:fill="FFFFFF"/>
        </w:rPr>
        <w:t>取消其中标资格</w:t>
      </w:r>
      <w:r>
        <w:rPr>
          <w:rFonts w:hint="eastAsia" w:ascii="宋体" w:hAnsi="宋体" w:eastAsia="宋体" w:cs="宋体"/>
          <w:b w:val="0"/>
          <w:i w:val="0"/>
          <w:caps w:val="0"/>
          <w:color w:val="auto"/>
          <w:spacing w:val="0"/>
          <w:sz w:val="21"/>
          <w:szCs w:val="21"/>
          <w:highlight w:val="none"/>
          <w:shd w:val="clear" w:color="auto" w:fill="FFFFFF"/>
          <w:lang w:val="en-US" w:eastAsia="zh-CN"/>
        </w:rPr>
        <w:t>后</w:t>
      </w:r>
      <w:r>
        <w:rPr>
          <w:rFonts w:hint="eastAsia" w:ascii="宋体" w:hAnsi="宋体" w:eastAsia="宋体" w:cs="宋体"/>
          <w:b w:val="0"/>
          <w:i w:val="0"/>
          <w:caps w:val="0"/>
          <w:color w:val="auto"/>
          <w:spacing w:val="0"/>
          <w:sz w:val="21"/>
          <w:szCs w:val="21"/>
          <w:highlight w:val="none"/>
          <w:shd w:val="clear" w:color="auto" w:fill="FFFFFF"/>
        </w:rPr>
        <w:t>，</w:t>
      </w:r>
      <w:r>
        <w:rPr>
          <w:rFonts w:hint="eastAsia" w:ascii="宋体" w:hAnsi="宋体" w:eastAsia="宋体" w:cs="宋体"/>
          <w:color w:val="auto"/>
          <w:sz w:val="21"/>
          <w:szCs w:val="21"/>
          <w:highlight w:val="none"/>
          <w:lang w:val="en-US" w:eastAsia="zh-CN"/>
        </w:rPr>
        <w:t>招标人可以按照评标委员会提出的中标候选人名单排序依次确定其他中标候选人为中标人，也可以重新招标</w:t>
      </w:r>
      <w:r>
        <w:rPr>
          <w:rFonts w:hint="eastAsia" w:ascii="宋体" w:hAnsi="宋体" w:eastAsia="宋体" w:cs="宋体"/>
          <w:color w:val="auto"/>
          <w:sz w:val="21"/>
          <w:szCs w:val="21"/>
          <w:highlight w:val="none"/>
        </w:rPr>
        <w:t>。</w:t>
      </w:r>
    </w:p>
    <w:p w14:paraId="3F857FD1">
      <w:pPr>
        <w:pStyle w:val="36"/>
        <w:pageBreakBefore w:val="0"/>
        <w:wordWrap/>
        <w:overflowPunct/>
        <w:topLinePunct w:val="0"/>
        <w:bidi w:val="0"/>
        <w:spacing w:before="0" w:beforeLines="0" w:line="400" w:lineRule="exact"/>
        <w:ind w:right="0"/>
        <w:outlineLvl w:val="9"/>
        <w:rPr>
          <w:rFonts w:hint="eastAsia" w:ascii="宋体" w:hAnsi="宋体" w:eastAsia="宋体" w:cs="宋体"/>
          <w:color w:val="auto"/>
          <w:sz w:val="24"/>
          <w:highlight w:val="none"/>
        </w:rPr>
      </w:pPr>
    </w:p>
    <w:p w14:paraId="5EF134F6">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shd w:val="clear" w:color="auto" w:fill="auto"/>
        </w:rPr>
      </w:pPr>
      <w:r>
        <w:rPr>
          <w:rFonts w:hint="eastAsia" w:ascii="宋体" w:hAnsi="宋体" w:eastAsia="宋体" w:cs="宋体"/>
          <w:color w:val="auto"/>
          <w:sz w:val="22"/>
          <w:szCs w:val="22"/>
          <w:highlight w:val="none"/>
        </w:rPr>
        <w:t xml:space="preserve">8. </w:t>
      </w:r>
      <w:r>
        <w:rPr>
          <w:rFonts w:hint="eastAsia" w:ascii="宋体" w:hAnsi="宋体" w:eastAsia="宋体" w:cs="宋体"/>
          <w:color w:val="auto"/>
          <w:sz w:val="22"/>
          <w:szCs w:val="22"/>
          <w:highlight w:val="none"/>
          <w:shd w:val="clear" w:color="auto" w:fill="auto"/>
        </w:rPr>
        <w:t>重新招标</w:t>
      </w:r>
    </w:p>
    <w:p w14:paraId="6476CE1D">
      <w:pPr>
        <w:pageBreakBefore w:val="0"/>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有下列情形之一的，招标人</w:t>
      </w:r>
      <w:r>
        <w:rPr>
          <w:rFonts w:hint="eastAsia" w:ascii="宋体" w:hAnsi="宋体" w:eastAsia="宋体" w:cs="宋体"/>
          <w:color w:val="auto"/>
          <w:sz w:val="21"/>
          <w:szCs w:val="21"/>
          <w:highlight w:val="none"/>
          <w:lang w:val="en-US" w:eastAsia="zh-CN"/>
        </w:rPr>
        <w:t>应当</w:t>
      </w:r>
      <w:r>
        <w:rPr>
          <w:rFonts w:hint="eastAsia" w:ascii="宋体" w:hAnsi="宋体" w:eastAsia="宋体" w:cs="宋体"/>
          <w:color w:val="auto"/>
          <w:sz w:val="21"/>
          <w:szCs w:val="21"/>
          <w:highlight w:val="none"/>
        </w:rPr>
        <w:t>重新招标：</w:t>
      </w:r>
    </w:p>
    <w:p w14:paraId="5D673C67">
      <w:pPr>
        <w:pageBreakBefore w:val="0"/>
        <w:numPr>
          <w:ilvl w:val="0"/>
          <w:numId w:val="0"/>
        </w:numPr>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sz w:val="21"/>
          <w:szCs w:val="21"/>
          <w:highlight w:val="none"/>
        </w:rPr>
        <w:t>投标截止时间止，投标人少于3个的；</w:t>
      </w:r>
    </w:p>
    <w:p w14:paraId="482F76FD">
      <w:pPr>
        <w:pageBreakBefore w:val="0"/>
        <w:numPr>
          <w:ilvl w:val="0"/>
          <w:numId w:val="0"/>
        </w:numPr>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sz w:val="21"/>
          <w:szCs w:val="21"/>
          <w:highlight w:val="none"/>
        </w:rPr>
        <w:t>通过初步评审的</w:t>
      </w:r>
      <w:r>
        <w:rPr>
          <w:rFonts w:hint="eastAsia" w:ascii="宋体" w:hAnsi="宋体" w:eastAsia="宋体" w:cs="宋体"/>
          <w:color w:val="auto"/>
          <w:sz w:val="21"/>
          <w:szCs w:val="21"/>
          <w:highlight w:val="none"/>
          <w:lang w:val="en-US" w:eastAsia="zh-CN"/>
        </w:rPr>
        <w:t>有效</w:t>
      </w:r>
      <w:r>
        <w:rPr>
          <w:rFonts w:hint="eastAsia" w:ascii="宋体" w:hAnsi="宋体" w:eastAsia="宋体" w:cs="宋体"/>
          <w:color w:val="auto"/>
          <w:sz w:val="21"/>
          <w:szCs w:val="21"/>
          <w:highlight w:val="none"/>
        </w:rPr>
        <w:t>投标人少于3个的；</w:t>
      </w:r>
    </w:p>
    <w:p w14:paraId="57F1952A">
      <w:pPr>
        <w:pageBreakBefore w:val="0"/>
        <w:numPr>
          <w:ilvl w:val="0"/>
          <w:numId w:val="0"/>
        </w:numPr>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sz w:val="21"/>
          <w:szCs w:val="21"/>
          <w:highlight w:val="none"/>
          <w:lang w:val="en-US" w:eastAsia="zh-CN"/>
        </w:rPr>
        <w:t>定标候选人少于3个的；</w:t>
      </w:r>
    </w:p>
    <w:p w14:paraId="226505B4">
      <w:pPr>
        <w:pageBreakBefore w:val="0"/>
        <w:numPr>
          <w:ilvl w:val="0"/>
          <w:numId w:val="0"/>
        </w:numPr>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sz w:val="21"/>
          <w:szCs w:val="21"/>
          <w:highlight w:val="none"/>
          <w:lang w:val="en-US" w:eastAsia="zh-CN"/>
        </w:rPr>
        <w:t>只推荐1个中标候选人时，中标候选人中标无效或者放弃中标的；</w:t>
      </w:r>
    </w:p>
    <w:p w14:paraId="6FE15D24">
      <w:pPr>
        <w:pageBreakBefore w:val="0"/>
        <w:numPr>
          <w:ilvl w:val="0"/>
          <w:numId w:val="0"/>
        </w:numPr>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sz w:val="21"/>
          <w:szCs w:val="21"/>
          <w:highlight w:val="none"/>
          <w:lang w:val="en-US" w:eastAsia="zh-CN"/>
        </w:rPr>
        <w:t>法律法规规定的其他情形。</w:t>
      </w:r>
    </w:p>
    <w:p w14:paraId="58D13780">
      <w:pPr>
        <w:pageBreakBefore w:val="0"/>
        <w:wordWrap/>
        <w:overflowPunct/>
        <w:topLinePunct w:val="0"/>
        <w:bidi w:val="0"/>
        <w:spacing w:before="0" w:beforeLines="0" w:afterLines="0" w:line="400" w:lineRule="exact"/>
        <w:ind w:right="0" w:firstLine="420" w:firstLineChars="200"/>
        <w:rPr>
          <w:rFonts w:hint="eastAsia" w:ascii="宋体" w:hAnsi="宋体" w:eastAsia="宋体" w:cs="宋体"/>
          <w:color w:val="auto"/>
          <w:highlight w:val="none"/>
        </w:rPr>
      </w:pPr>
    </w:p>
    <w:p w14:paraId="48A73A67">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 纪律和监督</w:t>
      </w:r>
    </w:p>
    <w:p w14:paraId="5E19D7DA">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9.1 对招标人的纪律要求</w:t>
      </w:r>
    </w:p>
    <w:p w14:paraId="7C6380F9">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招标人不得</w:t>
      </w:r>
      <w:r>
        <w:rPr>
          <w:rFonts w:hint="eastAsia" w:ascii="宋体" w:hAnsi="宋体" w:eastAsia="宋体" w:cs="宋体"/>
          <w:color w:val="auto"/>
          <w:sz w:val="21"/>
          <w:szCs w:val="21"/>
          <w:highlight w:val="none"/>
          <w:lang w:eastAsia="zh-CN"/>
        </w:rPr>
        <w:t>泄露</w:t>
      </w:r>
      <w:r>
        <w:rPr>
          <w:rFonts w:hint="eastAsia" w:ascii="宋体" w:hAnsi="宋体" w:eastAsia="宋体" w:cs="宋体"/>
          <w:color w:val="auto"/>
          <w:sz w:val="21"/>
          <w:szCs w:val="21"/>
          <w:highlight w:val="none"/>
        </w:rPr>
        <w:t>招标投标活动中应当保密的情况和资料，不得与投标人串通损害国家利益、社会公共利益或者他人合法权益。</w:t>
      </w:r>
    </w:p>
    <w:p w14:paraId="22E3FE16">
      <w:pPr>
        <w:pStyle w:val="35"/>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27F3351E">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9.2 对投标人的纪律要求</w:t>
      </w:r>
    </w:p>
    <w:p w14:paraId="4EB288D7">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工作。</w:t>
      </w:r>
    </w:p>
    <w:p w14:paraId="79FD8343">
      <w:pPr>
        <w:pStyle w:val="8"/>
        <w:pageBreakBefore w:val="0"/>
        <w:wordWrap/>
        <w:overflowPunct/>
        <w:topLinePunct w:val="0"/>
        <w:bidi w:val="0"/>
        <w:spacing w:beforeLines="0" w:afterLines="0" w:line="400" w:lineRule="exact"/>
        <w:ind w:right="0"/>
        <w:rPr>
          <w:rFonts w:hint="eastAsia" w:ascii="宋体" w:hAnsi="宋体" w:eastAsia="宋体" w:cs="宋体"/>
          <w:color w:val="auto"/>
          <w:highlight w:val="none"/>
        </w:rPr>
      </w:pPr>
    </w:p>
    <w:p w14:paraId="2FEBBEC1">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9.3 对评标委员会成员的纪律要求</w:t>
      </w:r>
    </w:p>
    <w:p w14:paraId="2FFBC463">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评标</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lang w:eastAsia="zh-CN"/>
        </w:rPr>
        <w:t>办法</w:t>
      </w:r>
      <w:r>
        <w:rPr>
          <w:rFonts w:hint="eastAsia" w:ascii="宋体" w:hAnsi="宋体" w:eastAsia="宋体" w:cs="宋体"/>
          <w:color w:val="auto"/>
          <w:sz w:val="21"/>
          <w:szCs w:val="21"/>
          <w:highlight w:val="none"/>
        </w:rPr>
        <w:t>”没有规定的评审因素和标准进行评标。</w:t>
      </w:r>
    </w:p>
    <w:p w14:paraId="67099769">
      <w:pPr>
        <w:pStyle w:val="8"/>
        <w:pageBreakBefore w:val="0"/>
        <w:wordWrap/>
        <w:overflowPunct/>
        <w:topLinePunct w:val="0"/>
        <w:bidi w:val="0"/>
        <w:spacing w:beforeLines="0" w:afterLines="0" w:line="400" w:lineRule="exact"/>
        <w:ind w:right="0"/>
        <w:rPr>
          <w:rFonts w:hint="eastAsia" w:ascii="宋体" w:hAnsi="宋体" w:eastAsia="宋体" w:cs="宋体"/>
          <w:color w:val="auto"/>
          <w:highlight w:val="none"/>
        </w:rPr>
      </w:pPr>
    </w:p>
    <w:p w14:paraId="6EDEDD71">
      <w:pPr>
        <w:pStyle w:val="7"/>
        <w:keepNext w:val="0"/>
        <w:keepLines w:val="0"/>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 xml:space="preserve"> 对与评标</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定标</w:t>
      </w:r>
      <w:r>
        <w:rPr>
          <w:rFonts w:hint="eastAsia" w:ascii="宋体" w:hAnsi="宋体" w:eastAsia="宋体" w:cs="宋体"/>
          <w:color w:val="auto"/>
          <w:sz w:val="22"/>
          <w:szCs w:val="22"/>
          <w:highlight w:val="none"/>
        </w:rPr>
        <w:t>活动有关的工作人员的纪律要求</w:t>
      </w:r>
    </w:p>
    <w:p w14:paraId="5FC9CD86">
      <w:pPr>
        <w:pageBreakBefore w:val="0"/>
        <w:wordWrap/>
        <w:overflowPunct/>
        <w:topLinePunct w:val="0"/>
        <w:bidi w:val="0"/>
        <w:spacing w:beforeLines="0" w:afterLines="0" w:line="400" w:lineRule="exact"/>
        <w:ind w:left="479" w:leftChars="228" w:right="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与评标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活动有关的工作人员不得收受他人的财物或者其他好处，不得向他人透露对投标文件的评审和比较、</w:t>
      </w:r>
      <w:r>
        <w:rPr>
          <w:rFonts w:hint="eastAsia" w:ascii="宋体" w:hAnsi="宋体" w:eastAsia="宋体" w:cs="宋体"/>
          <w:color w:val="auto"/>
          <w:sz w:val="21"/>
          <w:szCs w:val="21"/>
          <w:highlight w:val="none"/>
          <w:lang w:val="en-US" w:eastAsia="zh-CN"/>
        </w:rPr>
        <w:t>定标候选人、</w:t>
      </w:r>
      <w:r>
        <w:rPr>
          <w:rFonts w:hint="eastAsia" w:ascii="宋体" w:hAnsi="宋体" w:eastAsia="宋体" w:cs="宋体"/>
          <w:color w:val="auto"/>
          <w:sz w:val="21"/>
          <w:szCs w:val="21"/>
          <w:highlight w:val="none"/>
        </w:rPr>
        <w:t>中标候选人的推荐情况以及</w:t>
      </w:r>
      <w:r>
        <w:rPr>
          <w:rFonts w:hint="eastAsia" w:ascii="宋体" w:hAnsi="宋体" w:eastAsia="宋体" w:cs="宋体"/>
          <w:color w:val="auto"/>
          <w:sz w:val="21"/>
          <w:szCs w:val="21"/>
          <w:highlight w:val="none"/>
          <w:lang w:val="en-US" w:eastAsia="zh-CN"/>
        </w:rPr>
        <w:t>与</w:t>
      </w:r>
      <w:r>
        <w:rPr>
          <w:rFonts w:hint="eastAsia" w:ascii="宋体" w:hAnsi="宋体" w:eastAsia="宋体" w:cs="宋体"/>
          <w:color w:val="auto"/>
          <w:sz w:val="21"/>
          <w:szCs w:val="21"/>
          <w:highlight w:val="none"/>
        </w:rPr>
        <w:t>评标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有关的其他情况。在评标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活动中，与评标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活动有关的工作人员不得擅离职守，影响评标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程序正常进行。</w:t>
      </w:r>
    </w:p>
    <w:p w14:paraId="408ED30B">
      <w:pPr>
        <w:keepNext w:val="0"/>
        <w:keepLines w:val="0"/>
        <w:pageBreakBefore w:val="0"/>
        <w:wordWrap/>
        <w:overflowPunct/>
        <w:topLinePunct w:val="0"/>
        <w:bidi w:val="0"/>
        <w:spacing w:beforeLines="0" w:afterLines="0" w:line="400" w:lineRule="exact"/>
        <w:ind w:right="0"/>
        <w:outlineLvl w:val="9"/>
        <w:rPr>
          <w:rFonts w:hint="eastAsia" w:ascii="宋体" w:hAnsi="宋体" w:eastAsia="宋体" w:cs="宋体"/>
          <w:color w:val="auto"/>
          <w:highlight w:val="none"/>
        </w:rPr>
      </w:pPr>
    </w:p>
    <w:p w14:paraId="38827C01">
      <w:pPr>
        <w:pStyle w:val="7"/>
        <w:keepNext w:val="0"/>
        <w:keepLines w:val="0"/>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w:t>
      </w:r>
      <w:r>
        <w:rPr>
          <w:rFonts w:hint="eastAsia" w:ascii="宋体" w:hAnsi="宋体" w:eastAsia="宋体" w:cs="宋体"/>
          <w:color w:val="auto"/>
          <w:sz w:val="22"/>
          <w:szCs w:val="22"/>
          <w:highlight w:val="none"/>
          <w:lang w:eastAsia="zh-CN"/>
        </w:rPr>
        <w:t>6</w:t>
      </w:r>
      <w:r>
        <w:rPr>
          <w:rFonts w:hint="eastAsia" w:ascii="宋体" w:hAnsi="宋体" w:eastAsia="宋体" w:cs="宋体"/>
          <w:color w:val="auto"/>
          <w:sz w:val="22"/>
          <w:szCs w:val="22"/>
          <w:highlight w:val="none"/>
        </w:rPr>
        <w:t xml:space="preserve"> 质疑、询问与处理</w:t>
      </w:r>
    </w:p>
    <w:p w14:paraId="6D605176">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9.6.1询问受理方式：投标人登录“佛山公共资源交易管理云平台”，进入“提问/质疑”填写相关信息，并将询问函及相关证明材料按云平台要求进行提交。</w:t>
      </w:r>
    </w:p>
    <w:p w14:paraId="2449F1D1">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9.6.2投标人认为招标文件、招标过程和中标、成交结果使自己的权益受到损害的，可以在知道或者应知其权益受到损害之日起七个工作日内，投标人登录“佛山公共资源交易管理云平台”，进入“提问/质疑”填写相关信息，并将质疑函及相关证明材料按云平台要求进行提交。质疑内容不得含有虚假、恶意成分。依照谁主张谁举证的原则，提出质疑者必须同时提交相关确凿的证据材料和注明事实的确切来源。投标人捏造事实、提供虚假材料或者以非法手段取得证明材料进行投诉的，由相关部门列入不良行为记录名单，禁止其1至3年内参加招标活动。</w:t>
      </w:r>
    </w:p>
    <w:p w14:paraId="1F5136B4">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9.6.3异议期限：</w:t>
      </w:r>
    </w:p>
    <w:p w14:paraId="09F8D832">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（1）潜在投标人或者其他利害关系人对招标文件有异议的，应当在投标截止时间10日前提出。</w:t>
      </w:r>
    </w:p>
    <w:p w14:paraId="75E13548">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（2）投标人对开标有异议的，应当在开标时当场提出，招标人应当当场作出答复，并制作记录。</w:t>
      </w:r>
    </w:p>
    <w:p w14:paraId="47BCA8BA">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（3）投标人或者其他利害关系人对评标结果有异议的，应当在评标结果公示期间一次性完整提出。</w:t>
      </w:r>
    </w:p>
    <w:p w14:paraId="32515D70">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（4）投标人或者其他利害关系人对中标结果有异议的，应当在中标公示期间一次性完整提出。</w:t>
      </w:r>
    </w:p>
    <w:p w14:paraId="429C9CA8">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9.6.4 投标人或者其他利害关系人的异议未一次性完整提出的，招标人不予受理</w:t>
      </w:r>
      <w:r>
        <w:rPr>
          <w:rFonts w:hint="eastAsia" w:ascii="宋体" w:hAnsi="宋体" w:eastAsia="宋体" w:cs="宋体"/>
          <w:color w:val="auto"/>
          <w:sz w:val="21"/>
          <w:szCs w:val="21"/>
          <w:highlight w:val="none"/>
          <w:lang w:val="en-US" w:eastAsia="zh-CN"/>
        </w:rPr>
        <w:t>。</w:t>
      </w:r>
    </w:p>
    <w:p w14:paraId="06821361">
      <w:pPr>
        <w:pStyle w:val="36"/>
        <w:pageBreakBefore w:val="0"/>
        <w:wordWrap/>
        <w:overflowPunct/>
        <w:topLinePunct w:val="0"/>
        <w:bidi w:val="0"/>
        <w:spacing w:before="0" w:beforeLines="0" w:line="400" w:lineRule="exact"/>
        <w:ind w:left="720" w:right="0" w:hanging="630" w:hangingChars="300"/>
        <w:outlineLvl w:val="9"/>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9.</w:t>
      </w:r>
      <w:r>
        <w:rPr>
          <w:rFonts w:hint="eastAsia" w:ascii="宋体" w:hAnsi="宋体" w:eastAsia="宋体" w:cs="宋体"/>
          <w:b w:val="0"/>
          <w:bCs w:val="0"/>
          <w:color w:val="auto"/>
          <w:sz w:val="21"/>
          <w:szCs w:val="21"/>
          <w:highlight w:val="none"/>
          <w:lang w:eastAsia="zh-CN"/>
        </w:rPr>
        <w:t>6</w:t>
      </w:r>
      <w:r>
        <w:rPr>
          <w:rFonts w:hint="eastAsia" w:ascii="宋体" w:hAnsi="宋体" w:eastAsia="宋体" w:cs="宋体"/>
          <w:b w:val="0"/>
          <w:bCs w:val="0"/>
          <w:color w:val="auto"/>
          <w:sz w:val="21"/>
          <w:szCs w:val="21"/>
          <w:highlight w:val="none"/>
          <w:lang w:val="en-US" w:eastAsia="zh-CN"/>
        </w:rPr>
        <w:t xml:space="preserve">.5 </w:t>
      </w:r>
      <w:r>
        <w:rPr>
          <w:rFonts w:hint="eastAsia" w:ascii="宋体" w:hAnsi="宋体" w:eastAsia="宋体" w:cs="宋体"/>
          <w:color w:val="auto"/>
          <w:sz w:val="21"/>
          <w:szCs w:val="21"/>
          <w:highlight w:val="none"/>
          <w:lang w:val="en-US" w:eastAsia="zh-CN"/>
        </w:rPr>
        <w:t>若出现复核</w:t>
      </w:r>
      <w:r>
        <w:rPr>
          <w:rFonts w:hint="eastAsia" w:ascii="宋体" w:hAnsi="宋体" w:eastAsia="宋体" w:cs="宋体"/>
          <w:color w:val="auto"/>
          <w:sz w:val="21"/>
          <w:szCs w:val="21"/>
          <w:highlight w:val="none"/>
          <w:shd w:val="clear" w:color="auto" w:fill="auto"/>
          <w:lang w:val="en-US" w:eastAsia="zh-CN"/>
        </w:rPr>
        <w:t>/复评</w:t>
      </w:r>
      <w:r>
        <w:rPr>
          <w:rFonts w:hint="eastAsia" w:ascii="宋体" w:hAnsi="宋体" w:eastAsia="宋体" w:cs="宋体"/>
          <w:color w:val="auto"/>
          <w:sz w:val="21"/>
          <w:szCs w:val="21"/>
          <w:highlight w:val="none"/>
          <w:lang w:val="en-US" w:eastAsia="zh-CN"/>
        </w:rPr>
        <w:t>且改变原评标结果/定标结果的，</w:t>
      </w:r>
      <w:r>
        <w:rPr>
          <w:rFonts w:hint="eastAsia" w:ascii="宋体" w:hAnsi="宋体" w:eastAsia="宋体" w:cs="宋体"/>
          <w:color w:val="auto"/>
          <w:sz w:val="21"/>
          <w:szCs w:val="21"/>
          <w:highlight w:val="none"/>
        </w:rPr>
        <w:t>投标人或者其他利害关系人对</w:t>
      </w:r>
      <w:r>
        <w:rPr>
          <w:rFonts w:hint="eastAsia" w:ascii="宋体" w:hAnsi="宋体" w:eastAsia="宋体" w:cs="宋体"/>
          <w:color w:val="auto"/>
          <w:sz w:val="21"/>
          <w:szCs w:val="21"/>
          <w:highlight w:val="none"/>
          <w:lang w:val="en-US" w:eastAsia="zh-CN"/>
        </w:rPr>
        <w:t>复核</w:t>
      </w:r>
      <w:r>
        <w:rPr>
          <w:rFonts w:hint="eastAsia" w:ascii="宋体" w:hAnsi="宋体" w:eastAsia="宋体" w:cs="宋体"/>
          <w:color w:val="auto"/>
          <w:sz w:val="21"/>
          <w:szCs w:val="21"/>
          <w:highlight w:val="none"/>
          <w:shd w:val="clear" w:color="auto" w:fill="auto"/>
          <w:lang w:val="en-US" w:eastAsia="zh-CN"/>
        </w:rPr>
        <w:t>/复评</w:t>
      </w:r>
      <w:r>
        <w:rPr>
          <w:rFonts w:hint="eastAsia" w:ascii="宋体" w:hAnsi="宋体" w:eastAsia="宋体" w:cs="宋体"/>
          <w:color w:val="auto"/>
          <w:sz w:val="21"/>
          <w:szCs w:val="21"/>
          <w:highlight w:val="none"/>
        </w:rPr>
        <w:t>结果有异议的，应当在</w:t>
      </w:r>
      <w:r>
        <w:rPr>
          <w:rFonts w:hint="eastAsia" w:ascii="宋体" w:hAnsi="宋体" w:eastAsia="宋体" w:cs="宋体"/>
          <w:color w:val="auto"/>
          <w:sz w:val="21"/>
          <w:szCs w:val="21"/>
          <w:highlight w:val="none"/>
          <w:lang w:val="en-US" w:eastAsia="zh-CN"/>
        </w:rPr>
        <w:t>复核</w:t>
      </w:r>
      <w:r>
        <w:rPr>
          <w:rFonts w:hint="eastAsia" w:ascii="宋体" w:hAnsi="宋体" w:eastAsia="宋体" w:cs="宋体"/>
          <w:color w:val="auto"/>
          <w:sz w:val="21"/>
          <w:szCs w:val="21"/>
          <w:highlight w:val="none"/>
          <w:shd w:val="clear" w:color="auto" w:fill="auto"/>
          <w:lang w:val="en-US" w:eastAsia="zh-CN"/>
        </w:rPr>
        <w:t>/复评</w:t>
      </w:r>
      <w:r>
        <w:rPr>
          <w:rFonts w:hint="eastAsia" w:ascii="宋体" w:hAnsi="宋体" w:eastAsia="宋体" w:cs="宋体"/>
          <w:color w:val="auto"/>
          <w:sz w:val="21"/>
          <w:szCs w:val="21"/>
          <w:highlight w:val="none"/>
        </w:rPr>
        <w:t>结果公示期间</w:t>
      </w:r>
      <w:r>
        <w:rPr>
          <w:rFonts w:hint="eastAsia" w:ascii="宋体" w:hAnsi="宋体" w:eastAsia="宋体" w:cs="宋体"/>
          <w:b w:val="0"/>
          <w:bCs w:val="0"/>
          <w:color w:val="auto"/>
          <w:kern w:val="0"/>
          <w:sz w:val="21"/>
          <w:szCs w:val="21"/>
          <w:highlight w:val="none"/>
          <w:lang w:val="en-US" w:eastAsia="zh-CN"/>
        </w:rPr>
        <w:t>向招标人</w:t>
      </w:r>
      <w:r>
        <w:rPr>
          <w:rFonts w:hint="eastAsia" w:ascii="宋体" w:hAnsi="宋体" w:eastAsia="宋体" w:cs="宋体"/>
          <w:color w:val="auto"/>
          <w:sz w:val="21"/>
          <w:szCs w:val="21"/>
          <w:highlight w:val="none"/>
        </w:rPr>
        <w:t>提出。招标人不再受理投标人或者其他利害关系人针对</w:t>
      </w:r>
      <w:r>
        <w:rPr>
          <w:rFonts w:hint="eastAsia" w:ascii="宋体" w:hAnsi="宋体" w:eastAsia="宋体" w:cs="宋体"/>
          <w:color w:val="auto"/>
          <w:sz w:val="21"/>
          <w:szCs w:val="21"/>
          <w:highlight w:val="none"/>
          <w:lang w:eastAsia="zh-CN"/>
        </w:rPr>
        <w:t>原</w:t>
      </w:r>
      <w:r>
        <w:rPr>
          <w:rFonts w:hint="eastAsia" w:ascii="宋体" w:hAnsi="宋体" w:eastAsia="宋体" w:cs="宋体"/>
          <w:color w:val="auto"/>
          <w:sz w:val="21"/>
          <w:szCs w:val="21"/>
          <w:highlight w:val="none"/>
        </w:rPr>
        <w:t>评标结果</w:t>
      </w:r>
      <w:r>
        <w:rPr>
          <w:rFonts w:hint="eastAsia" w:ascii="宋体" w:hAnsi="宋体" w:eastAsia="宋体" w:cs="宋体"/>
          <w:color w:val="auto"/>
          <w:sz w:val="21"/>
          <w:szCs w:val="21"/>
          <w:highlight w:val="none"/>
          <w:lang w:val="en-US" w:eastAsia="zh-CN"/>
        </w:rPr>
        <w:t>/定标结果</w:t>
      </w:r>
      <w:r>
        <w:rPr>
          <w:rFonts w:hint="eastAsia" w:ascii="宋体" w:hAnsi="宋体" w:eastAsia="宋体" w:cs="宋体"/>
          <w:color w:val="auto"/>
          <w:sz w:val="21"/>
          <w:szCs w:val="21"/>
          <w:highlight w:val="none"/>
        </w:rPr>
        <w:t>公示</w:t>
      </w:r>
      <w:r>
        <w:rPr>
          <w:rFonts w:hint="eastAsia" w:ascii="宋体" w:hAnsi="宋体" w:eastAsia="宋体" w:cs="宋体"/>
          <w:color w:val="auto"/>
          <w:sz w:val="21"/>
          <w:szCs w:val="21"/>
          <w:highlight w:val="none"/>
          <w:lang w:eastAsia="zh-CN"/>
        </w:rPr>
        <w:t>期间</w:t>
      </w:r>
      <w:r>
        <w:rPr>
          <w:rFonts w:hint="eastAsia" w:ascii="宋体" w:hAnsi="宋体" w:eastAsia="宋体" w:cs="宋体"/>
          <w:color w:val="auto"/>
          <w:sz w:val="21"/>
          <w:szCs w:val="21"/>
          <w:highlight w:val="none"/>
        </w:rPr>
        <w:t>已公示内容提出的异议。</w:t>
      </w:r>
    </w:p>
    <w:p w14:paraId="2A55DE7B">
      <w:pPr>
        <w:pageBreakBefore w:val="0"/>
        <w:wordWrap/>
        <w:overflowPunct/>
        <w:topLinePunct w:val="0"/>
        <w:bidi w:val="0"/>
        <w:spacing w:beforeLines="0" w:afterLines="0" w:line="400" w:lineRule="exact"/>
        <w:ind w:left="720" w:right="0" w:hanging="630" w:hangingChars="3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r>
        <w:rPr>
          <w:rFonts w:hint="eastAsia" w:ascii="宋体" w:hAnsi="宋体" w:eastAsia="宋体" w:cs="宋体"/>
          <w:color w:val="auto"/>
          <w:sz w:val="21"/>
          <w:szCs w:val="21"/>
          <w:highlight w:val="none"/>
          <w:lang w:val="en-US" w:eastAsia="zh-CN"/>
        </w:rPr>
        <w:t xml:space="preserve">6 </w:t>
      </w:r>
      <w:r>
        <w:rPr>
          <w:rFonts w:hint="eastAsia" w:ascii="宋体" w:hAnsi="宋体" w:eastAsia="宋体" w:cs="宋体"/>
          <w:b w:val="0"/>
          <w:bCs w:val="0"/>
          <w:color w:val="auto"/>
          <w:sz w:val="21"/>
          <w:szCs w:val="21"/>
          <w:highlight w:val="none"/>
          <w:lang w:val="en-US" w:eastAsia="zh-CN"/>
        </w:rPr>
        <w:t>投标人、潜在投标人或其他利害关系人应当充分重视异议、投诉提出的时限，避免异议权、投诉权因时效原因而灭失</w:t>
      </w:r>
      <w:r>
        <w:rPr>
          <w:rFonts w:hint="eastAsia" w:ascii="宋体" w:hAnsi="宋体" w:eastAsia="宋体" w:cs="宋体"/>
          <w:color w:val="auto"/>
          <w:sz w:val="21"/>
          <w:szCs w:val="21"/>
          <w:highlight w:val="none"/>
        </w:rPr>
        <w:t>。</w:t>
      </w:r>
    </w:p>
    <w:p w14:paraId="31DB6436">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val="en-US" w:eastAsia="zh-CN"/>
        </w:rPr>
        <w:t xml:space="preserve">9.6.7 </w:t>
      </w:r>
      <w:r>
        <w:rPr>
          <w:rFonts w:hint="eastAsia" w:ascii="宋体" w:hAnsi="宋体" w:eastAsia="宋体" w:cs="宋体"/>
          <w:b w:val="0"/>
          <w:bCs w:val="0"/>
          <w:color w:val="auto"/>
          <w:sz w:val="21"/>
          <w:szCs w:val="21"/>
          <w:highlight w:val="none"/>
        </w:rPr>
        <w:t>质疑人对采购人或</w:t>
      </w:r>
      <w:r>
        <w:rPr>
          <w:rFonts w:hint="eastAsia" w:ascii="宋体" w:hAnsi="宋体" w:eastAsia="宋体" w:cs="宋体"/>
          <w:b w:val="0"/>
          <w:bCs w:val="0"/>
          <w:color w:val="auto"/>
          <w:sz w:val="21"/>
          <w:szCs w:val="21"/>
          <w:highlight w:val="none"/>
          <w:lang w:val="en-US" w:eastAsia="zh-CN"/>
        </w:rPr>
        <w:t>招标</w:t>
      </w:r>
      <w:r>
        <w:rPr>
          <w:rFonts w:hint="eastAsia" w:ascii="宋体" w:hAnsi="宋体" w:eastAsia="宋体" w:cs="宋体"/>
          <w:b w:val="0"/>
          <w:bCs w:val="0"/>
          <w:color w:val="auto"/>
          <w:sz w:val="21"/>
          <w:szCs w:val="21"/>
          <w:highlight w:val="none"/>
        </w:rPr>
        <w:t>代理机构的质疑答复不满意，可以在答复期满后15个工作日内，按如下联系方式提起投诉：</w:t>
      </w:r>
    </w:p>
    <w:p w14:paraId="5CF52CC0">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投诉举报部门</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广东顺控水务投资建设有限公司纪检审计部</w:t>
      </w:r>
    </w:p>
    <w:p w14:paraId="0B9C666E">
      <w:pPr>
        <w:keepNext w:val="0"/>
        <w:keepLines w:val="0"/>
        <w:pageBreakBefore w:val="0"/>
        <w:wordWrap/>
        <w:overflowPunct/>
        <w:topLinePunct w:val="0"/>
        <w:bidi w:val="0"/>
        <w:spacing w:beforeLines="0" w:afterLines="0" w:line="400" w:lineRule="exact"/>
        <w:ind w:left="630" w:leftChars="0" w:right="0" w:hanging="630" w:hangingChars="300"/>
        <w:outlineLvl w:val="9"/>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联系人：陈先生</w:t>
      </w:r>
    </w:p>
    <w:p w14:paraId="2E0AC7C2">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投诉举报电话：0757-22320116</w:t>
      </w:r>
    </w:p>
    <w:p w14:paraId="2654B682">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投诉举报邮箱：skswjjsjb@163.com</w:t>
      </w:r>
    </w:p>
    <w:p w14:paraId="7A1ABDFD">
      <w:pPr>
        <w:pStyle w:val="36"/>
        <w:pageBreakBefore w:val="0"/>
        <w:wordWrap/>
        <w:overflowPunct/>
        <w:topLinePunct w:val="0"/>
        <w:bidi w:val="0"/>
        <w:spacing w:before="0" w:beforeLines="0" w:line="400" w:lineRule="exact"/>
        <w:ind w:right="0"/>
        <w:outlineLvl w:val="9"/>
        <w:rPr>
          <w:rFonts w:hint="eastAsia" w:ascii="宋体" w:hAnsi="宋体" w:eastAsia="宋体" w:cs="宋体"/>
          <w:color w:val="auto"/>
          <w:highlight w:val="none"/>
        </w:rPr>
      </w:pPr>
    </w:p>
    <w:p w14:paraId="3B39C046">
      <w:pPr>
        <w:pStyle w:val="7"/>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 需要补充的其他内容</w:t>
      </w:r>
    </w:p>
    <w:p w14:paraId="11801706">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需要补充的其他内容：见投标人须知前附表。</w:t>
      </w:r>
    </w:p>
    <w:p w14:paraId="1F4C0B07">
      <w:pPr>
        <w:pageBreakBefore w:val="0"/>
        <w:wordWrap/>
        <w:overflowPunct/>
        <w:topLinePunct w:val="0"/>
        <w:bidi w:val="0"/>
        <w:spacing w:beforeLines="0" w:afterLines="0" w:line="400" w:lineRule="exact"/>
        <w:ind w:left="0" w:leftChars="0" w:right="0" w:firstLine="0" w:firstLineChars="0"/>
        <w:rPr>
          <w:rFonts w:hint="eastAsia" w:ascii="宋体" w:hAnsi="宋体" w:eastAsia="宋体" w:cs="宋体"/>
          <w:color w:val="auto"/>
          <w:sz w:val="21"/>
          <w:szCs w:val="21"/>
          <w:highlight w:val="none"/>
        </w:rPr>
      </w:pPr>
    </w:p>
    <w:bookmarkEnd w:id="61"/>
    <w:bookmarkEnd w:id="62"/>
    <w:bookmarkEnd w:id="63"/>
    <w:bookmarkEnd w:id="64"/>
    <w:p w14:paraId="20DA5DA4">
      <w:pPr>
        <w:rPr>
          <w:color w:val="auto"/>
          <w:highlight w:val="none"/>
        </w:rPr>
      </w:pPr>
      <w:r>
        <w:rPr>
          <w:color w:val="auto"/>
          <w:highlight w:val="none"/>
        </w:rPr>
        <w:br w:type="page"/>
      </w:r>
    </w:p>
    <w:p w14:paraId="2107DABE">
      <w:pPr>
        <w:pStyle w:val="4"/>
        <w:rPr>
          <w:color w:val="auto"/>
          <w:highlight w:val="none"/>
        </w:rPr>
        <w:sectPr>
          <w:footerReference r:id="rId9" w:type="default"/>
          <w:pgSz w:w="11906" w:h="16839"/>
          <w:pgMar w:top="1169" w:right="1304" w:bottom="1048" w:left="1427" w:header="0" w:footer="886" w:gutter="0"/>
          <w:pgNumType w:fmt="decimal"/>
          <w:cols w:space="720" w:num="1"/>
        </w:sectPr>
      </w:pPr>
    </w:p>
    <w:p w14:paraId="678173F2">
      <w:pPr>
        <w:outlineLvl w:val="2"/>
        <w:rPr>
          <w:rFonts w:hint="eastAsia" w:ascii="宋体" w:hAnsi="宋体"/>
          <w:b/>
          <w:color w:val="auto"/>
          <w:sz w:val="28"/>
          <w:szCs w:val="28"/>
          <w:highlight w:val="none"/>
          <w:lang w:eastAsia="zh-CN"/>
        </w:rPr>
      </w:pPr>
      <w:r>
        <w:rPr>
          <w:rFonts w:hint="eastAsia" w:ascii="宋体" w:hAnsi="宋体"/>
          <w:b/>
          <w:color w:val="auto"/>
          <w:sz w:val="28"/>
          <w:szCs w:val="28"/>
          <w:highlight w:val="none"/>
        </w:rPr>
        <w:t>附表</w:t>
      </w:r>
      <w:r>
        <w:rPr>
          <w:rFonts w:hint="eastAsia" w:ascii="宋体" w:hAnsi="宋体"/>
          <w:b/>
          <w:color w:val="auto"/>
          <w:sz w:val="28"/>
          <w:szCs w:val="28"/>
          <w:highlight w:val="none"/>
          <w:lang w:eastAsia="zh-CN"/>
        </w:rPr>
        <w:t>一：询问函、质疑函、投诉书格式</w:t>
      </w:r>
    </w:p>
    <w:p w14:paraId="41EE70FA">
      <w:pPr>
        <w:ind w:firstLine="480"/>
        <w:rPr>
          <w:rFonts w:ascii="宋体" w:hAnsi="宋体"/>
          <w:color w:val="auto"/>
          <w:sz w:val="24"/>
          <w:highlight w:val="none"/>
        </w:rPr>
      </w:pPr>
      <w:r>
        <w:rPr>
          <w:rFonts w:ascii="宋体" w:hAnsi="宋体"/>
          <w:color w:val="auto"/>
          <w:sz w:val="24"/>
          <w:highlight w:val="none"/>
        </w:rPr>
        <w:t>（以下格式文件由供应商根据需要选用）</w:t>
      </w:r>
    </w:p>
    <w:p w14:paraId="42852B50">
      <w:pPr>
        <w:jc w:val="center"/>
        <w:rPr>
          <w:rFonts w:ascii="宋体" w:hAnsi="宋体"/>
          <w:color w:val="auto"/>
          <w:sz w:val="32"/>
          <w:highlight w:val="none"/>
        </w:rPr>
      </w:pPr>
      <w:r>
        <w:rPr>
          <w:rFonts w:ascii="宋体" w:hAnsi="宋体"/>
          <w:b/>
          <w:color w:val="auto"/>
          <w:sz w:val="32"/>
          <w:highlight w:val="none"/>
        </w:rPr>
        <w:t>询问函、质疑函、投诉书格式</w:t>
      </w:r>
    </w:p>
    <w:p w14:paraId="2037D732">
      <w:pPr>
        <w:ind w:firstLine="480"/>
        <w:rPr>
          <w:rFonts w:ascii="宋体" w:hAnsi="宋体"/>
          <w:color w:val="auto"/>
          <w:sz w:val="24"/>
          <w:highlight w:val="none"/>
        </w:rPr>
      </w:pPr>
      <w:r>
        <w:rPr>
          <w:rFonts w:ascii="宋体" w:hAnsi="宋体"/>
          <w:color w:val="auto"/>
          <w:sz w:val="24"/>
          <w:highlight w:val="none"/>
        </w:rPr>
        <w:t>说明：本部分格式为投标人提交询问函、质疑函、投诉函时使用，不属于投标文件格式的组成部分。</w:t>
      </w:r>
    </w:p>
    <w:p w14:paraId="7A50DB15">
      <w:pPr>
        <w:jc w:val="center"/>
        <w:rPr>
          <w:rFonts w:ascii="宋体" w:hAnsi="宋体"/>
          <w:b/>
          <w:color w:val="auto"/>
          <w:sz w:val="24"/>
          <w:highlight w:val="none"/>
        </w:rPr>
      </w:pPr>
    </w:p>
    <w:p w14:paraId="5BD3E1A8">
      <w:pPr>
        <w:jc w:val="center"/>
        <w:rPr>
          <w:rFonts w:ascii="宋体" w:hAnsi="宋体"/>
          <w:color w:val="auto"/>
          <w:sz w:val="32"/>
          <w:highlight w:val="none"/>
        </w:rPr>
      </w:pPr>
      <w:r>
        <w:rPr>
          <w:rFonts w:ascii="宋体" w:hAnsi="宋体"/>
          <w:b/>
          <w:color w:val="auto"/>
          <w:sz w:val="32"/>
          <w:highlight w:val="none"/>
        </w:rPr>
        <w:t>询问函</w:t>
      </w:r>
    </w:p>
    <w:p w14:paraId="3B4F0252">
      <w:pPr>
        <w:spacing w:line="360" w:lineRule="auto"/>
        <w:ind w:firstLine="480"/>
        <w:rPr>
          <w:rFonts w:hint="eastAsia" w:ascii="宋体" w:hAnsi="宋体" w:eastAsia="宋体"/>
          <w:color w:val="auto"/>
          <w:sz w:val="24"/>
          <w:highlight w:val="none"/>
          <w:lang w:eastAsia="zh-CN"/>
        </w:rPr>
      </w:pPr>
      <w:r>
        <w:rPr>
          <w:rFonts w:hint="eastAsia" w:ascii="宋体" w:hAnsi="宋体" w:eastAsia="宋体"/>
          <w:color w:val="auto"/>
          <w:sz w:val="24"/>
          <w:highlight w:val="none"/>
          <w:lang w:eastAsia="zh-CN"/>
        </w:rPr>
        <w:t>采购人名称/采购代理机构</w:t>
      </w:r>
    </w:p>
    <w:p w14:paraId="4C8B32F7">
      <w:pPr>
        <w:spacing w:line="360" w:lineRule="auto"/>
        <w:ind w:firstLine="480"/>
        <w:rPr>
          <w:rFonts w:ascii="宋体" w:hAnsi="宋体"/>
          <w:color w:val="auto"/>
          <w:sz w:val="24"/>
          <w:highlight w:val="none"/>
        </w:rPr>
      </w:pPr>
      <w:r>
        <w:rPr>
          <w:rFonts w:ascii="宋体" w:hAnsi="宋体"/>
          <w:color w:val="auto"/>
          <w:sz w:val="24"/>
          <w:highlight w:val="none"/>
        </w:rPr>
        <w:t>我单位已登记并准备参与“</w:t>
      </w:r>
      <w:r>
        <w:rPr>
          <w:rFonts w:hint="eastAsia" w:ascii="宋体" w:hAnsi="宋体" w:eastAsia="宋体"/>
          <w:color w:val="auto"/>
          <w:sz w:val="24"/>
          <w:highlight w:val="none"/>
          <w:lang w:eastAsia="zh-CN"/>
        </w:rPr>
        <w:t>佛山顺德粤港澳协同发展合作区排水管网建设及改造工程（二期、三期、四期）水土保持监测</w:t>
      </w:r>
      <w:r>
        <w:rPr>
          <w:rFonts w:ascii="宋体" w:hAnsi="宋体"/>
          <w:color w:val="auto"/>
          <w:sz w:val="24"/>
          <w:highlight w:val="none"/>
        </w:rPr>
        <w:t>”项目（项目编号</w:t>
      </w:r>
      <w:r>
        <w:rPr>
          <w:rFonts w:ascii="宋体" w:hAnsi="宋体"/>
          <w:color w:val="auto"/>
          <w:sz w:val="24"/>
          <w:highlight w:val="none"/>
          <w:u w:val="single"/>
        </w:rPr>
        <w:t>：</w:t>
      </w:r>
      <w:r>
        <w:rPr>
          <w:rFonts w:hint="eastAsia" w:ascii="宋体" w:hAnsi="宋体"/>
          <w:color w:val="auto"/>
          <w:sz w:val="24"/>
          <w:highlight w:val="none"/>
          <w:u w:val="single"/>
          <w:lang w:val="en-US" w:eastAsia="zh-CN"/>
        </w:rPr>
        <w:t xml:space="preserve">      </w:t>
      </w:r>
      <w:r>
        <w:rPr>
          <w:rFonts w:ascii="宋体" w:hAnsi="宋体"/>
          <w:color w:val="auto"/>
          <w:sz w:val="24"/>
          <w:highlight w:val="none"/>
        </w:rPr>
        <w:t>）的投标活动，现有以下几个内容（或条款）存在疑问（或无法理解），特提出询问。</w:t>
      </w:r>
    </w:p>
    <w:p w14:paraId="7ECDB50F">
      <w:pPr>
        <w:spacing w:line="360" w:lineRule="auto"/>
        <w:ind w:firstLine="480"/>
        <w:rPr>
          <w:rFonts w:ascii="宋体" w:hAnsi="宋体"/>
          <w:color w:val="auto"/>
          <w:sz w:val="24"/>
          <w:highlight w:val="none"/>
        </w:rPr>
      </w:pPr>
      <w:r>
        <w:rPr>
          <w:rFonts w:ascii="宋体" w:hAnsi="宋体"/>
          <w:color w:val="auto"/>
          <w:sz w:val="24"/>
          <w:highlight w:val="none"/>
        </w:rPr>
        <w:t>一、_____________________（事项一）</w:t>
      </w:r>
    </w:p>
    <w:p w14:paraId="551EFD18">
      <w:pPr>
        <w:spacing w:line="360" w:lineRule="auto"/>
        <w:ind w:firstLine="480"/>
        <w:rPr>
          <w:rFonts w:ascii="宋体" w:hAnsi="宋体"/>
          <w:color w:val="auto"/>
          <w:sz w:val="24"/>
          <w:highlight w:val="none"/>
        </w:rPr>
      </w:pPr>
      <w:r>
        <w:rPr>
          <w:rFonts w:ascii="宋体" w:hAnsi="宋体"/>
          <w:color w:val="auto"/>
          <w:sz w:val="24"/>
          <w:highlight w:val="none"/>
        </w:rPr>
        <w:t>（1）____________________（问题或条款内容）</w:t>
      </w:r>
    </w:p>
    <w:p w14:paraId="35B558CC">
      <w:pPr>
        <w:spacing w:line="360" w:lineRule="auto"/>
        <w:ind w:firstLine="480"/>
        <w:rPr>
          <w:rFonts w:ascii="宋体" w:hAnsi="宋体"/>
          <w:color w:val="auto"/>
          <w:sz w:val="24"/>
          <w:highlight w:val="none"/>
        </w:rPr>
      </w:pPr>
      <w:r>
        <w:rPr>
          <w:rFonts w:ascii="宋体" w:hAnsi="宋体"/>
          <w:color w:val="auto"/>
          <w:sz w:val="24"/>
          <w:highlight w:val="none"/>
        </w:rPr>
        <w:t>（2）____________________（说明疑问或无法理解原因）</w:t>
      </w:r>
    </w:p>
    <w:p w14:paraId="0E5B645F">
      <w:pPr>
        <w:spacing w:line="360" w:lineRule="auto"/>
        <w:ind w:firstLine="480"/>
        <w:rPr>
          <w:rFonts w:ascii="宋体" w:hAnsi="宋体"/>
          <w:color w:val="auto"/>
          <w:sz w:val="24"/>
          <w:highlight w:val="none"/>
        </w:rPr>
      </w:pPr>
      <w:r>
        <w:rPr>
          <w:rFonts w:ascii="宋体" w:hAnsi="宋体"/>
          <w:color w:val="auto"/>
          <w:sz w:val="24"/>
          <w:highlight w:val="none"/>
        </w:rPr>
        <w:t>（3）____________________（建议）</w:t>
      </w:r>
    </w:p>
    <w:p w14:paraId="5E3C872B">
      <w:pPr>
        <w:spacing w:line="360" w:lineRule="auto"/>
        <w:ind w:firstLine="480"/>
        <w:rPr>
          <w:rFonts w:ascii="宋体" w:hAnsi="宋体"/>
          <w:color w:val="auto"/>
          <w:sz w:val="24"/>
          <w:highlight w:val="none"/>
        </w:rPr>
      </w:pPr>
      <w:r>
        <w:rPr>
          <w:rFonts w:ascii="宋体" w:hAnsi="宋体"/>
          <w:color w:val="auto"/>
          <w:sz w:val="24"/>
          <w:highlight w:val="none"/>
        </w:rPr>
        <w:t>二、_____________________（事项二）</w:t>
      </w:r>
    </w:p>
    <w:p w14:paraId="368F7148">
      <w:pPr>
        <w:spacing w:line="360" w:lineRule="auto"/>
        <w:ind w:firstLine="480"/>
        <w:rPr>
          <w:rFonts w:ascii="宋体" w:hAnsi="宋体"/>
          <w:color w:val="auto"/>
          <w:sz w:val="24"/>
          <w:highlight w:val="none"/>
        </w:rPr>
      </w:pPr>
      <w:r>
        <w:rPr>
          <w:rFonts w:ascii="宋体" w:hAnsi="宋体"/>
          <w:color w:val="auto"/>
          <w:sz w:val="24"/>
          <w:highlight w:val="none"/>
        </w:rPr>
        <w:t>...</w:t>
      </w:r>
    </w:p>
    <w:p w14:paraId="4A0FD956">
      <w:pPr>
        <w:spacing w:line="360" w:lineRule="auto"/>
        <w:ind w:firstLine="480"/>
        <w:rPr>
          <w:rFonts w:ascii="宋体" w:hAnsi="宋体"/>
          <w:color w:val="auto"/>
          <w:sz w:val="24"/>
          <w:highlight w:val="none"/>
        </w:rPr>
      </w:pPr>
      <w:r>
        <w:rPr>
          <w:rFonts w:ascii="宋体" w:hAnsi="宋体"/>
          <w:color w:val="auto"/>
          <w:sz w:val="24"/>
          <w:highlight w:val="none"/>
        </w:rPr>
        <w:t>随附相关证明材料如下：（目录）</w:t>
      </w:r>
    </w:p>
    <w:p w14:paraId="619C302A">
      <w:pPr>
        <w:spacing w:line="360" w:lineRule="auto"/>
        <w:rPr>
          <w:rFonts w:ascii="宋体" w:hAnsi="宋体"/>
          <w:color w:val="auto"/>
          <w:sz w:val="24"/>
          <w:highlight w:val="none"/>
        </w:rPr>
      </w:pPr>
      <w:r>
        <w:rPr>
          <w:rFonts w:ascii="宋体" w:hAnsi="宋体"/>
          <w:color w:val="auto"/>
          <w:sz w:val="24"/>
          <w:highlight w:val="none"/>
        </w:rPr>
        <w:t>询问人（公章）：_____________________</w:t>
      </w:r>
    </w:p>
    <w:p w14:paraId="1E789B04">
      <w:pPr>
        <w:spacing w:line="360" w:lineRule="auto"/>
        <w:rPr>
          <w:rFonts w:ascii="宋体" w:hAnsi="宋体"/>
          <w:color w:val="auto"/>
          <w:sz w:val="24"/>
          <w:highlight w:val="none"/>
        </w:rPr>
      </w:pPr>
      <w:r>
        <w:rPr>
          <w:rFonts w:ascii="宋体" w:hAnsi="宋体"/>
          <w:color w:val="auto"/>
          <w:sz w:val="24"/>
          <w:highlight w:val="none"/>
        </w:rPr>
        <w:t>法定代表人或授权代表（签字或盖章）：_____________________</w:t>
      </w:r>
    </w:p>
    <w:p w14:paraId="52F487D5">
      <w:pPr>
        <w:spacing w:line="360" w:lineRule="auto"/>
        <w:rPr>
          <w:rFonts w:ascii="宋体" w:hAnsi="宋体"/>
          <w:color w:val="auto"/>
          <w:sz w:val="24"/>
          <w:highlight w:val="none"/>
        </w:rPr>
      </w:pPr>
      <w:r>
        <w:rPr>
          <w:rFonts w:ascii="宋体" w:hAnsi="宋体"/>
          <w:color w:val="auto"/>
          <w:sz w:val="24"/>
          <w:highlight w:val="none"/>
        </w:rPr>
        <w:t>地址/邮编：_____________________</w:t>
      </w:r>
    </w:p>
    <w:p w14:paraId="45E74A2E">
      <w:pPr>
        <w:spacing w:line="360" w:lineRule="auto"/>
        <w:rPr>
          <w:rFonts w:ascii="宋体" w:hAnsi="宋体"/>
          <w:color w:val="auto"/>
          <w:sz w:val="24"/>
          <w:highlight w:val="none"/>
        </w:rPr>
      </w:pPr>
      <w:r>
        <w:rPr>
          <w:rFonts w:ascii="宋体" w:hAnsi="宋体"/>
          <w:color w:val="auto"/>
          <w:sz w:val="24"/>
          <w:highlight w:val="none"/>
        </w:rPr>
        <w:t>电话/传真：_____________________</w:t>
      </w:r>
    </w:p>
    <w:p w14:paraId="516C7F67">
      <w:pPr>
        <w:spacing w:line="360" w:lineRule="auto"/>
        <w:rPr>
          <w:rFonts w:ascii="宋体" w:hAnsi="宋体"/>
          <w:color w:val="auto"/>
          <w:sz w:val="24"/>
          <w:highlight w:val="none"/>
        </w:rPr>
      </w:pPr>
      <w:r>
        <w:rPr>
          <w:rFonts w:ascii="宋体" w:hAnsi="宋体"/>
          <w:color w:val="auto"/>
          <w:sz w:val="24"/>
          <w:highlight w:val="none"/>
        </w:rPr>
        <w:t>日期： 年 月 日</w:t>
      </w:r>
    </w:p>
    <w:p w14:paraId="4BAA4F72">
      <w:pPr>
        <w:keepNext w:val="0"/>
        <w:keepLines w:val="0"/>
        <w:pageBreakBefore w:val="0"/>
        <w:widowControl/>
        <w:kinsoku w:val="0"/>
        <w:wordWrap/>
        <w:overflowPunct/>
        <w:topLinePunct w:val="0"/>
        <w:autoSpaceDE w:val="0"/>
        <w:autoSpaceDN w:val="0"/>
        <w:bidi w:val="0"/>
        <w:adjustRightInd w:val="0"/>
        <w:snapToGrid w:val="0"/>
        <w:spacing w:line="300" w:lineRule="auto"/>
        <w:jc w:val="center"/>
        <w:textAlignment w:val="baseline"/>
        <w:rPr>
          <w:rFonts w:ascii="宋体" w:hAnsi="宋体"/>
          <w:color w:val="auto"/>
          <w:sz w:val="32"/>
          <w:highlight w:val="none"/>
        </w:rPr>
      </w:pPr>
      <w:r>
        <w:rPr>
          <w:rFonts w:ascii="宋体" w:hAnsi="宋体"/>
          <w:color w:val="auto"/>
          <w:sz w:val="24"/>
          <w:highlight w:val="none"/>
        </w:rPr>
        <w:br w:type="page"/>
      </w:r>
      <w:r>
        <w:rPr>
          <w:rFonts w:ascii="宋体" w:hAnsi="宋体"/>
          <w:b/>
          <w:color w:val="auto"/>
          <w:sz w:val="32"/>
          <w:highlight w:val="none"/>
        </w:rPr>
        <w:t>质疑函</w:t>
      </w:r>
    </w:p>
    <w:p w14:paraId="20BA866A">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一、质疑供应商基本信息</w:t>
      </w:r>
    </w:p>
    <w:p w14:paraId="09ACD401">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质疑供应商：</w:t>
      </w:r>
    </w:p>
    <w:p w14:paraId="709D5002">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地址：_____________________邮编：_____________________</w:t>
      </w:r>
    </w:p>
    <w:p w14:paraId="289A31E4">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联系：_____________________联系电话：_____________________</w:t>
      </w:r>
    </w:p>
    <w:p w14:paraId="093C21F7">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授权代表：_____________________</w:t>
      </w:r>
    </w:p>
    <w:p w14:paraId="2E154F6D">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联系电话：_____________________</w:t>
      </w:r>
    </w:p>
    <w:p w14:paraId="0401DDF2">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地址：_____________________邮编：_____________________</w:t>
      </w:r>
    </w:p>
    <w:p w14:paraId="5B2DA1A6">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二、质疑项目基本情况</w:t>
      </w:r>
    </w:p>
    <w:p w14:paraId="6B8E1475">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质疑项目的名称：_____________________</w:t>
      </w:r>
    </w:p>
    <w:p w14:paraId="26474E3A">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质疑项目的编号：_____________________ 包号：_____________________</w:t>
      </w:r>
    </w:p>
    <w:p w14:paraId="5DF226D8">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采购人名称：_____________________</w:t>
      </w:r>
    </w:p>
    <w:p w14:paraId="6008C427">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采购文件获取日期：_____________________</w:t>
      </w:r>
    </w:p>
    <w:p w14:paraId="43292EF0">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三、质疑事项具体内容</w:t>
      </w:r>
    </w:p>
    <w:p w14:paraId="43383559">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质疑事项1：_____________________</w:t>
      </w:r>
    </w:p>
    <w:p w14:paraId="79AD164F">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事实依据：_____________________</w:t>
      </w:r>
    </w:p>
    <w:p w14:paraId="24788206">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法律依据：_____________________</w:t>
      </w:r>
    </w:p>
    <w:p w14:paraId="5702E5E7">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质疑事项2：_____________________</w:t>
      </w:r>
    </w:p>
    <w:p w14:paraId="058AA859">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w:t>
      </w:r>
    </w:p>
    <w:p w14:paraId="0DA42BA8">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四、与质疑事项相关的质疑请求</w:t>
      </w:r>
    </w:p>
    <w:p w14:paraId="2F40424E">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color w:val="auto"/>
          <w:sz w:val="24"/>
          <w:highlight w:val="none"/>
        </w:rPr>
      </w:pPr>
      <w:r>
        <w:rPr>
          <w:rFonts w:ascii="宋体" w:hAnsi="宋体"/>
          <w:color w:val="auto"/>
          <w:sz w:val="24"/>
          <w:highlight w:val="none"/>
        </w:rPr>
        <w:t>请求：__________________________________________</w:t>
      </w:r>
    </w:p>
    <w:p w14:paraId="333CA001">
      <w:pPr>
        <w:keepNext w:val="0"/>
        <w:keepLines w:val="0"/>
        <w:pageBreakBefore w:val="0"/>
        <w:widowControl/>
        <w:kinsoku w:val="0"/>
        <w:wordWrap/>
        <w:overflowPunct/>
        <w:topLinePunct w:val="0"/>
        <w:autoSpaceDE w:val="0"/>
        <w:autoSpaceDN w:val="0"/>
        <w:bidi w:val="0"/>
        <w:adjustRightInd w:val="0"/>
        <w:snapToGrid w:val="0"/>
        <w:spacing w:line="300" w:lineRule="auto"/>
        <w:textAlignment w:val="baseline"/>
        <w:rPr>
          <w:rFonts w:ascii="宋体" w:hAnsi="宋体"/>
          <w:color w:val="auto"/>
          <w:sz w:val="24"/>
          <w:highlight w:val="none"/>
        </w:rPr>
      </w:pPr>
      <w:r>
        <w:rPr>
          <w:rFonts w:ascii="宋体" w:hAnsi="宋体"/>
          <w:color w:val="auto"/>
          <w:sz w:val="24"/>
          <w:highlight w:val="none"/>
        </w:rPr>
        <w:t xml:space="preserve"> 签字(签章)：_____________________ 公章：_____________________</w:t>
      </w:r>
    </w:p>
    <w:p w14:paraId="0D6A1735">
      <w:pPr>
        <w:keepNext w:val="0"/>
        <w:keepLines w:val="0"/>
        <w:pageBreakBefore w:val="0"/>
        <w:widowControl/>
        <w:kinsoku w:val="0"/>
        <w:wordWrap/>
        <w:overflowPunct/>
        <w:topLinePunct w:val="0"/>
        <w:autoSpaceDE w:val="0"/>
        <w:autoSpaceDN w:val="0"/>
        <w:bidi w:val="0"/>
        <w:adjustRightInd w:val="0"/>
        <w:snapToGrid w:val="0"/>
        <w:spacing w:line="300" w:lineRule="auto"/>
        <w:textAlignment w:val="baseline"/>
        <w:rPr>
          <w:rFonts w:ascii="宋体" w:hAnsi="宋体"/>
          <w:color w:val="auto"/>
          <w:sz w:val="24"/>
          <w:highlight w:val="none"/>
        </w:rPr>
      </w:pPr>
      <w:r>
        <w:rPr>
          <w:rFonts w:ascii="宋体" w:hAnsi="宋体"/>
          <w:color w:val="auto"/>
          <w:sz w:val="24"/>
          <w:highlight w:val="none"/>
        </w:rPr>
        <w:t>日期： 年 月 日</w:t>
      </w:r>
    </w:p>
    <w:p w14:paraId="62F6C98D">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color w:val="auto"/>
          <w:sz w:val="24"/>
          <w:highlight w:val="none"/>
        </w:rPr>
      </w:pPr>
      <w:r>
        <w:rPr>
          <w:rFonts w:ascii="宋体" w:hAnsi="宋体"/>
          <w:color w:val="auto"/>
          <w:sz w:val="24"/>
          <w:highlight w:val="none"/>
        </w:rPr>
        <w:t>质疑函制作说明：</w:t>
      </w:r>
    </w:p>
    <w:p w14:paraId="367EEDB2">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color w:val="auto"/>
          <w:sz w:val="24"/>
          <w:highlight w:val="none"/>
        </w:rPr>
      </w:pPr>
      <w:r>
        <w:rPr>
          <w:rFonts w:ascii="宋体" w:hAnsi="宋体"/>
          <w:color w:val="auto"/>
          <w:sz w:val="24"/>
          <w:highlight w:val="none"/>
        </w:rPr>
        <w:t>1.供应商提出质疑时，应提交质疑函和必要的证明材料。</w:t>
      </w:r>
    </w:p>
    <w:p w14:paraId="09A0ED64">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color w:val="auto"/>
          <w:sz w:val="24"/>
          <w:highlight w:val="none"/>
        </w:rPr>
      </w:pPr>
      <w:r>
        <w:rPr>
          <w:rFonts w:ascii="宋体" w:hAnsi="宋体"/>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E795793">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color w:val="auto"/>
          <w:sz w:val="24"/>
          <w:highlight w:val="none"/>
        </w:rPr>
      </w:pPr>
      <w:r>
        <w:rPr>
          <w:rFonts w:ascii="宋体" w:hAnsi="宋体"/>
          <w:color w:val="auto"/>
          <w:sz w:val="24"/>
          <w:highlight w:val="none"/>
        </w:rPr>
        <w:t>3.质疑供应商若对项目的某一分包进行质疑，质疑函中应列明具体采购包号。</w:t>
      </w:r>
    </w:p>
    <w:p w14:paraId="4AF3D0F5">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color w:val="auto"/>
          <w:sz w:val="24"/>
          <w:highlight w:val="none"/>
        </w:rPr>
      </w:pPr>
      <w:r>
        <w:rPr>
          <w:rFonts w:ascii="宋体" w:hAnsi="宋体"/>
          <w:color w:val="auto"/>
          <w:sz w:val="24"/>
          <w:highlight w:val="none"/>
        </w:rPr>
        <w:t>4.质疑函的质疑事项应具体、明确，并有必要的事实依据和法律依据。</w:t>
      </w:r>
    </w:p>
    <w:p w14:paraId="72D20DFF">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color w:val="auto"/>
          <w:sz w:val="24"/>
          <w:highlight w:val="none"/>
        </w:rPr>
      </w:pPr>
      <w:r>
        <w:rPr>
          <w:rFonts w:ascii="宋体" w:hAnsi="宋体"/>
          <w:color w:val="auto"/>
          <w:sz w:val="24"/>
          <w:highlight w:val="none"/>
        </w:rPr>
        <w:t>5.质疑函的质疑请求应与质疑事项相关。</w:t>
      </w:r>
    </w:p>
    <w:p w14:paraId="62A208AF">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color w:val="auto"/>
          <w:sz w:val="24"/>
          <w:highlight w:val="none"/>
        </w:rPr>
      </w:pPr>
      <w:r>
        <w:rPr>
          <w:rFonts w:ascii="宋体" w:hAnsi="宋体"/>
          <w:color w:val="auto"/>
          <w:sz w:val="24"/>
          <w:highlight w:val="none"/>
        </w:rPr>
        <w:t>6.质疑供应商为自然人的，质疑函应由本人签字；质疑供应商为法人或者其他组织的，质疑函应由法定代表人、主要负责人，或者其授权代表签字或者盖章，并加盖公章。</w:t>
      </w:r>
    </w:p>
    <w:p w14:paraId="7BCDEAB0">
      <w:pPr>
        <w:spacing w:line="360" w:lineRule="auto"/>
        <w:jc w:val="center"/>
        <w:rPr>
          <w:rFonts w:ascii="宋体" w:hAnsi="宋体"/>
          <w:color w:val="auto"/>
          <w:sz w:val="32"/>
          <w:highlight w:val="none"/>
        </w:rPr>
      </w:pPr>
      <w:r>
        <w:rPr>
          <w:rFonts w:ascii="宋体" w:hAnsi="宋体"/>
          <w:color w:val="auto"/>
          <w:sz w:val="24"/>
          <w:highlight w:val="none"/>
        </w:rPr>
        <w:br w:type="page"/>
      </w:r>
      <w:r>
        <w:rPr>
          <w:rFonts w:ascii="宋体" w:hAnsi="宋体"/>
          <w:b/>
          <w:color w:val="auto"/>
          <w:sz w:val="32"/>
          <w:highlight w:val="none"/>
        </w:rPr>
        <w:t>投诉书</w:t>
      </w:r>
    </w:p>
    <w:p w14:paraId="7E1910DC">
      <w:pPr>
        <w:spacing w:line="360" w:lineRule="auto"/>
        <w:ind w:firstLine="480"/>
        <w:rPr>
          <w:rFonts w:ascii="宋体" w:hAnsi="宋体"/>
          <w:color w:val="auto"/>
          <w:sz w:val="24"/>
          <w:highlight w:val="none"/>
        </w:rPr>
      </w:pPr>
      <w:r>
        <w:rPr>
          <w:rFonts w:ascii="宋体" w:hAnsi="宋体"/>
          <w:color w:val="auto"/>
          <w:sz w:val="24"/>
          <w:highlight w:val="none"/>
        </w:rPr>
        <w:t>一、投诉相关主体基本情况</w:t>
      </w:r>
    </w:p>
    <w:p w14:paraId="065846DF">
      <w:pPr>
        <w:spacing w:line="360" w:lineRule="auto"/>
        <w:ind w:firstLine="480"/>
        <w:rPr>
          <w:rFonts w:ascii="宋体" w:hAnsi="宋体"/>
          <w:color w:val="auto"/>
          <w:sz w:val="24"/>
          <w:highlight w:val="none"/>
        </w:rPr>
      </w:pPr>
      <w:r>
        <w:rPr>
          <w:rFonts w:ascii="宋体" w:hAnsi="宋体"/>
          <w:color w:val="auto"/>
          <w:sz w:val="24"/>
          <w:highlight w:val="none"/>
        </w:rPr>
        <w:t>投诉人：____________________</w:t>
      </w:r>
    </w:p>
    <w:p w14:paraId="6047E9A5">
      <w:pPr>
        <w:spacing w:line="360" w:lineRule="auto"/>
        <w:ind w:firstLine="480"/>
        <w:rPr>
          <w:rFonts w:ascii="宋体" w:hAnsi="宋体"/>
          <w:color w:val="auto"/>
          <w:sz w:val="24"/>
          <w:highlight w:val="none"/>
        </w:rPr>
      </w:pPr>
      <w:r>
        <w:rPr>
          <w:rFonts w:ascii="宋体" w:hAnsi="宋体"/>
          <w:color w:val="auto"/>
          <w:sz w:val="24"/>
          <w:highlight w:val="none"/>
        </w:rPr>
        <w:t>地 址：____________________邮编：____________________</w:t>
      </w:r>
    </w:p>
    <w:p w14:paraId="16051007">
      <w:pPr>
        <w:spacing w:line="360" w:lineRule="auto"/>
        <w:ind w:firstLine="480"/>
        <w:rPr>
          <w:rFonts w:ascii="宋体" w:hAnsi="宋体"/>
          <w:color w:val="auto"/>
          <w:sz w:val="24"/>
          <w:highlight w:val="none"/>
        </w:rPr>
      </w:pPr>
      <w:r>
        <w:rPr>
          <w:rFonts w:ascii="宋体" w:hAnsi="宋体"/>
          <w:color w:val="auto"/>
          <w:sz w:val="24"/>
          <w:highlight w:val="none"/>
        </w:rPr>
        <w:t>法定代表人/主要负责人：____________________</w:t>
      </w:r>
    </w:p>
    <w:p w14:paraId="5AECCA7C">
      <w:pPr>
        <w:spacing w:line="360" w:lineRule="auto"/>
        <w:ind w:firstLine="480"/>
        <w:rPr>
          <w:rFonts w:ascii="宋体" w:hAnsi="宋体"/>
          <w:color w:val="auto"/>
          <w:sz w:val="24"/>
          <w:highlight w:val="none"/>
        </w:rPr>
      </w:pPr>
      <w:r>
        <w:rPr>
          <w:rFonts w:ascii="宋体" w:hAnsi="宋体"/>
          <w:color w:val="auto"/>
          <w:sz w:val="24"/>
          <w:highlight w:val="none"/>
        </w:rPr>
        <w:t>联系电话：____________________</w:t>
      </w:r>
    </w:p>
    <w:p w14:paraId="6F3FC823">
      <w:pPr>
        <w:spacing w:line="360" w:lineRule="auto"/>
        <w:ind w:firstLine="480"/>
        <w:rPr>
          <w:rFonts w:ascii="宋体" w:hAnsi="宋体"/>
          <w:color w:val="auto"/>
          <w:sz w:val="24"/>
          <w:highlight w:val="none"/>
        </w:rPr>
      </w:pPr>
      <w:r>
        <w:rPr>
          <w:rFonts w:ascii="宋体" w:hAnsi="宋体"/>
          <w:color w:val="auto"/>
          <w:sz w:val="24"/>
          <w:highlight w:val="none"/>
        </w:rPr>
        <w:t>授权代表：____________________联系电话：____________________</w:t>
      </w:r>
    </w:p>
    <w:p w14:paraId="3859BA25">
      <w:pPr>
        <w:spacing w:line="360" w:lineRule="auto"/>
        <w:ind w:firstLine="480"/>
        <w:rPr>
          <w:rFonts w:ascii="宋体" w:hAnsi="宋体"/>
          <w:color w:val="auto"/>
          <w:sz w:val="24"/>
          <w:highlight w:val="none"/>
        </w:rPr>
      </w:pPr>
      <w:r>
        <w:rPr>
          <w:rFonts w:ascii="宋体" w:hAnsi="宋体"/>
          <w:color w:val="auto"/>
          <w:sz w:val="24"/>
          <w:highlight w:val="none"/>
        </w:rPr>
        <w:t>地 址：____________________邮编：____________________</w:t>
      </w:r>
    </w:p>
    <w:p w14:paraId="0EE51199">
      <w:pPr>
        <w:spacing w:line="360" w:lineRule="auto"/>
        <w:ind w:firstLine="480"/>
        <w:rPr>
          <w:rFonts w:ascii="宋体" w:hAnsi="宋体"/>
          <w:color w:val="auto"/>
          <w:sz w:val="24"/>
          <w:highlight w:val="none"/>
        </w:rPr>
      </w:pPr>
      <w:r>
        <w:rPr>
          <w:rFonts w:ascii="宋体" w:hAnsi="宋体"/>
          <w:color w:val="auto"/>
          <w:sz w:val="24"/>
          <w:highlight w:val="none"/>
        </w:rPr>
        <w:t>被投诉人1：____________________</w:t>
      </w:r>
    </w:p>
    <w:p w14:paraId="34273FFB">
      <w:pPr>
        <w:spacing w:line="360" w:lineRule="auto"/>
        <w:ind w:firstLine="480"/>
        <w:rPr>
          <w:rFonts w:ascii="宋体" w:hAnsi="宋体"/>
          <w:color w:val="auto"/>
          <w:sz w:val="24"/>
          <w:highlight w:val="none"/>
        </w:rPr>
      </w:pPr>
      <w:r>
        <w:rPr>
          <w:rFonts w:ascii="宋体" w:hAnsi="宋体"/>
          <w:color w:val="auto"/>
          <w:sz w:val="24"/>
          <w:highlight w:val="none"/>
        </w:rPr>
        <w:t>地址：____________________邮编：____________________</w:t>
      </w:r>
    </w:p>
    <w:p w14:paraId="14467443">
      <w:pPr>
        <w:spacing w:line="360" w:lineRule="auto"/>
        <w:ind w:firstLine="480"/>
        <w:rPr>
          <w:rFonts w:ascii="宋体" w:hAnsi="宋体"/>
          <w:color w:val="auto"/>
          <w:sz w:val="24"/>
          <w:highlight w:val="none"/>
        </w:rPr>
      </w:pPr>
      <w:r>
        <w:rPr>
          <w:rFonts w:ascii="宋体" w:hAnsi="宋体"/>
          <w:color w:val="auto"/>
          <w:sz w:val="24"/>
          <w:highlight w:val="none"/>
        </w:rPr>
        <w:t>联系人：____________________联系电话：____________________</w:t>
      </w:r>
    </w:p>
    <w:p w14:paraId="5F9D8354">
      <w:pPr>
        <w:spacing w:line="360" w:lineRule="auto"/>
        <w:ind w:firstLine="480"/>
        <w:rPr>
          <w:rFonts w:ascii="宋体" w:hAnsi="宋体"/>
          <w:color w:val="auto"/>
          <w:sz w:val="24"/>
          <w:highlight w:val="none"/>
        </w:rPr>
      </w:pPr>
      <w:r>
        <w:rPr>
          <w:rFonts w:ascii="宋体" w:hAnsi="宋体"/>
          <w:color w:val="auto"/>
          <w:sz w:val="24"/>
          <w:highlight w:val="none"/>
        </w:rPr>
        <w:t>被投诉人2：____________________</w:t>
      </w:r>
    </w:p>
    <w:p w14:paraId="3A228F5D">
      <w:pPr>
        <w:spacing w:line="360" w:lineRule="auto"/>
        <w:ind w:firstLine="480"/>
        <w:rPr>
          <w:rFonts w:ascii="宋体" w:hAnsi="宋体"/>
          <w:color w:val="auto"/>
          <w:sz w:val="24"/>
          <w:highlight w:val="none"/>
        </w:rPr>
      </w:pPr>
      <w:r>
        <w:rPr>
          <w:rFonts w:ascii="宋体" w:hAnsi="宋体"/>
          <w:color w:val="auto"/>
          <w:sz w:val="24"/>
          <w:highlight w:val="none"/>
        </w:rPr>
        <w:t>……</w:t>
      </w:r>
    </w:p>
    <w:p w14:paraId="0A2E9506">
      <w:pPr>
        <w:spacing w:line="360" w:lineRule="auto"/>
        <w:ind w:firstLine="480"/>
        <w:rPr>
          <w:rFonts w:ascii="宋体" w:hAnsi="宋体"/>
          <w:color w:val="auto"/>
          <w:sz w:val="24"/>
          <w:highlight w:val="none"/>
        </w:rPr>
      </w:pPr>
      <w:r>
        <w:rPr>
          <w:rFonts w:ascii="宋体" w:hAnsi="宋体"/>
          <w:color w:val="auto"/>
          <w:sz w:val="24"/>
          <w:highlight w:val="none"/>
        </w:rPr>
        <w:t>相关供应商：_____________________</w:t>
      </w:r>
    </w:p>
    <w:p w14:paraId="502BAB7F">
      <w:pPr>
        <w:spacing w:line="360" w:lineRule="auto"/>
        <w:ind w:firstLine="480"/>
        <w:rPr>
          <w:rFonts w:ascii="宋体" w:hAnsi="宋体"/>
          <w:color w:val="auto"/>
          <w:sz w:val="24"/>
          <w:highlight w:val="none"/>
        </w:rPr>
      </w:pPr>
      <w:r>
        <w:rPr>
          <w:rFonts w:ascii="宋体" w:hAnsi="宋体"/>
          <w:color w:val="auto"/>
          <w:sz w:val="24"/>
          <w:highlight w:val="none"/>
        </w:rPr>
        <w:t>地址：____________________邮编：____________________</w:t>
      </w:r>
    </w:p>
    <w:p w14:paraId="1FEAA353">
      <w:pPr>
        <w:spacing w:line="360" w:lineRule="auto"/>
        <w:ind w:firstLine="480"/>
        <w:rPr>
          <w:rFonts w:ascii="宋体" w:hAnsi="宋体"/>
          <w:color w:val="auto"/>
          <w:sz w:val="24"/>
          <w:highlight w:val="none"/>
        </w:rPr>
      </w:pPr>
      <w:r>
        <w:rPr>
          <w:rFonts w:ascii="宋体" w:hAnsi="宋体"/>
          <w:color w:val="auto"/>
          <w:sz w:val="24"/>
          <w:highlight w:val="none"/>
        </w:rPr>
        <w:t>联系人：____________________联系电话：____________________</w:t>
      </w:r>
    </w:p>
    <w:p w14:paraId="1587935E">
      <w:pPr>
        <w:spacing w:line="360" w:lineRule="auto"/>
        <w:ind w:firstLine="480"/>
        <w:rPr>
          <w:rFonts w:ascii="宋体" w:hAnsi="宋体"/>
          <w:color w:val="auto"/>
          <w:sz w:val="24"/>
          <w:highlight w:val="none"/>
        </w:rPr>
      </w:pPr>
      <w:r>
        <w:rPr>
          <w:rFonts w:ascii="宋体" w:hAnsi="宋体"/>
          <w:color w:val="auto"/>
          <w:sz w:val="24"/>
          <w:highlight w:val="none"/>
        </w:rPr>
        <w:t>二、投诉项目基本情况</w:t>
      </w:r>
    </w:p>
    <w:p w14:paraId="43681296">
      <w:pPr>
        <w:spacing w:line="360" w:lineRule="auto"/>
        <w:ind w:firstLine="480"/>
        <w:rPr>
          <w:rFonts w:ascii="宋体" w:hAnsi="宋体"/>
          <w:color w:val="auto"/>
          <w:sz w:val="24"/>
          <w:highlight w:val="none"/>
        </w:rPr>
      </w:pPr>
      <w:r>
        <w:rPr>
          <w:rFonts w:ascii="宋体" w:hAnsi="宋体"/>
          <w:color w:val="auto"/>
          <w:sz w:val="24"/>
          <w:highlight w:val="none"/>
        </w:rPr>
        <w:t>采购项目名称：____________________</w:t>
      </w:r>
    </w:p>
    <w:p w14:paraId="3C74EFE4">
      <w:pPr>
        <w:spacing w:line="360" w:lineRule="auto"/>
        <w:ind w:firstLine="480"/>
        <w:rPr>
          <w:rFonts w:ascii="宋体" w:hAnsi="宋体"/>
          <w:color w:val="auto"/>
          <w:sz w:val="24"/>
          <w:highlight w:val="none"/>
        </w:rPr>
      </w:pPr>
      <w:r>
        <w:rPr>
          <w:rFonts w:ascii="宋体" w:hAnsi="宋体"/>
          <w:color w:val="auto"/>
          <w:sz w:val="24"/>
          <w:highlight w:val="none"/>
        </w:rPr>
        <w:t>采购项目编号： ____________________包号：____________________</w:t>
      </w:r>
    </w:p>
    <w:p w14:paraId="1EEB146B">
      <w:pPr>
        <w:spacing w:line="360" w:lineRule="auto"/>
        <w:ind w:firstLine="480"/>
        <w:rPr>
          <w:rFonts w:ascii="宋体" w:hAnsi="宋体"/>
          <w:color w:val="auto"/>
          <w:sz w:val="24"/>
          <w:highlight w:val="none"/>
        </w:rPr>
      </w:pPr>
      <w:r>
        <w:rPr>
          <w:rFonts w:ascii="宋体" w:hAnsi="宋体"/>
          <w:color w:val="auto"/>
          <w:sz w:val="24"/>
          <w:highlight w:val="none"/>
        </w:rPr>
        <w:t>采购人名称：____________________</w:t>
      </w:r>
    </w:p>
    <w:p w14:paraId="281471DC">
      <w:pPr>
        <w:spacing w:line="360" w:lineRule="auto"/>
        <w:ind w:firstLine="480"/>
        <w:rPr>
          <w:rFonts w:ascii="宋体" w:hAnsi="宋体"/>
          <w:color w:val="auto"/>
          <w:sz w:val="24"/>
          <w:highlight w:val="none"/>
        </w:rPr>
      </w:pPr>
      <w:r>
        <w:rPr>
          <w:rFonts w:ascii="宋体" w:hAnsi="宋体"/>
          <w:color w:val="auto"/>
          <w:sz w:val="24"/>
          <w:highlight w:val="none"/>
        </w:rPr>
        <w:t>代理机构名称：____________________</w:t>
      </w:r>
    </w:p>
    <w:p w14:paraId="4CEDC025">
      <w:pPr>
        <w:spacing w:line="360" w:lineRule="auto"/>
        <w:ind w:firstLine="480"/>
        <w:rPr>
          <w:rFonts w:ascii="宋体" w:hAnsi="宋体"/>
          <w:color w:val="auto"/>
          <w:sz w:val="24"/>
          <w:highlight w:val="none"/>
        </w:rPr>
      </w:pPr>
      <w:r>
        <w:rPr>
          <w:rFonts w:ascii="宋体" w:hAnsi="宋体"/>
          <w:color w:val="auto"/>
          <w:sz w:val="24"/>
          <w:highlight w:val="none"/>
        </w:rPr>
        <w:t>采购文件公告:</w:t>
      </w:r>
      <w:r>
        <w:rPr>
          <w:rFonts w:ascii="宋体" w:hAnsi="宋体"/>
          <w:color w:val="auto"/>
          <w:sz w:val="24"/>
          <w:highlight w:val="none"/>
          <w:u w:val="single"/>
        </w:rPr>
        <w:t>是/否</w:t>
      </w:r>
      <w:r>
        <w:rPr>
          <w:rFonts w:ascii="宋体" w:hAnsi="宋体"/>
          <w:color w:val="auto"/>
          <w:sz w:val="24"/>
          <w:highlight w:val="none"/>
        </w:rPr>
        <w:t>公告期限：_____________________</w:t>
      </w:r>
    </w:p>
    <w:p w14:paraId="04C4CBD7">
      <w:pPr>
        <w:spacing w:line="360" w:lineRule="auto"/>
        <w:ind w:firstLine="480"/>
        <w:rPr>
          <w:rFonts w:ascii="宋体" w:hAnsi="宋体"/>
          <w:color w:val="auto"/>
          <w:sz w:val="24"/>
          <w:highlight w:val="none"/>
        </w:rPr>
      </w:pPr>
      <w:r>
        <w:rPr>
          <w:rFonts w:ascii="宋体" w:hAnsi="宋体"/>
          <w:color w:val="auto"/>
          <w:sz w:val="24"/>
          <w:highlight w:val="none"/>
        </w:rPr>
        <w:t>采购结果公告:</w:t>
      </w:r>
      <w:r>
        <w:rPr>
          <w:rFonts w:ascii="宋体" w:hAnsi="宋体"/>
          <w:color w:val="auto"/>
          <w:sz w:val="24"/>
          <w:highlight w:val="none"/>
          <w:u w:val="single"/>
        </w:rPr>
        <w:t>是/否</w:t>
      </w:r>
      <w:r>
        <w:rPr>
          <w:rFonts w:ascii="宋体" w:hAnsi="宋体"/>
          <w:color w:val="auto"/>
          <w:sz w:val="24"/>
          <w:highlight w:val="none"/>
        </w:rPr>
        <w:t>公告期限：_____________________</w:t>
      </w:r>
    </w:p>
    <w:p w14:paraId="7EA62873">
      <w:pPr>
        <w:spacing w:line="360" w:lineRule="auto"/>
        <w:ind w:firstLine="480"/>
        <w:rPr>
          <w:rFonts w:ascii="宋体" w:hAnsi="宋体"/>
          <w:color w:val="auto"/>
          <w:sz w:val="24"/>
          <w:highlight w:val="none"/>
        </w:rPr>
      </w:pPr>
      <w:r>
        <w:rPr>
          <w:rFonts w:ascii="宋体" w:hAnsi="宋体"/>
          <w:color w:val="auto"/>
          <w:sz w:val="24"/>
          <w:highlight w:val="none"/>
        </w:rPr>
        <w:t>三、质疑基本情况</w:t>
      </w:r>
    </w:p>
    <w:p w14:paraId="70E23243">
      <w:pPr>
        <w:spacing w:line="360" w:lineRule="auto"/>
        <w:ind w:firstLine="480"/>
        <w:rPr>
          <w:rFonts w:ascii="宋体" w:hAnsi="宋体"/>
          <w:color w:val="auto"/>
          <w:sz w:val="24"/>
          <w:highlight w:val="none"/>
        </w:rPr>
      </w:pPr>
      <w:r>
        <w:rPr>
          <w:rFonts w:ascii="宋体" w:hAnsi="宋体"/>
          <w:color w:val="auto"/>
          <w:sz w:val="24"/>
          <w:highlight w:val="none"/>
        </w:rPr>
        <w:t>投诉人于 ____年____月____日,向提出质疑，质疑事项为：_____________________</w:t>
      </w:r>
    </w:p>
    <w:p w14:paraId="484A0A9A">
      <w:pPr>
        <w:spacing w:line="360" w:lineRule="auto"/>
        <w:ind w:firstLine="480"/>
        <w:rPr>
          <w:rFonts w:ascii="宋体" w:hAnsi="宋体"/>
          <w:color w:val="auto"/>
          <w:sz w:val="24"/>
          <w:highlight w:val="none"/>
        </w:rPr>
      </w:pPr>
      <w:r>
        <w:rPr>
          <w:rFonts w:ascii="宋体" w:hAnsi="宋体"/>
          <w:color w:val="auto"/>
          <w:sz w:val="24"/>
          <w:highlight w:val="none"/>
          <w:u w:val="single"/>
        </w:rPr>
        <w:t>采购人/代理机构</w:t>
      </w:r>
      <w:r>
        <w:rPr>
          <w:rFonts w:ascii="宋体" w:hAnsi="宋体"/>
          <w:color w:val="auto"/>
          <w:sz w:val="24"/>
          <w:highlight w:val="none"/>
        </w:rPr>
        <w:t>于____年____月____日,就质疑事项作出了答复/没有在法定期限内作出答复。</w:t>
      </w:r>
    </w:p>
    <w:p w14:paraId="660B8923">
      <w:pPr>
        <w:spacing w:line="360" w:lineRule="auto"/>
        <w:ind w:firstLine="480"/>
        <w:rPr>
          <w:rFonts w:ascii="宋体" w:hAnsi="宋体"/>
          <w:color w:val="auto"/>
          <w:sz w:val="24"/>
          <w:highlight w:val="none"/>
        </w:rPr>
      </w:pPr>
      <w:r>
        <w:rPr>
          <w:rFonts w:ascii="宋体" w:hAnsi="宋体"/>
          <w:color w:val="auto"/>
          <w:sz w:val="24"/>
          <w:highlight w:val="none"/>
        </w:rPr>
        <w:t>四、投诉事项具体内容</w:t>
      </w:r>
    </w:p>
    <w:p w14:paraId="659BDF2A">
      <w:pPr>
        <w:spacing w:line="360" w:lineRule="auto"/>
        <w:ind w:firstLine="480"/>
        <w:rPr>
          <w:rFonts w:ascii="宋体" w:hAnsi="宋体"/>
          <w:color w:val="auto"/>
          <w:sz w:val="24"/>
          <w:highlight w:val="none"/>
        </w:rPr>
      </w:pPr>
      <w:r>
        <w:rPr>
          <w:rFonts w:ascii="宋体" w:hAnsi="宋体"/>
          <w:color w:val="auto"/>
          <w:sz w:val="24"/>
          <w:highlight w:val="none"/>
        </w:rPr>
        <w:t>投诉事项 1：_____________________</w:t>
      </w:r>
    </w:p>
    <w:p w14:paraId="75294C48">
      <w:pPr>
        <w:spacing w:line="360" w:lineRule="auto"/>
        <w:ind w:firstLine="480"/>
        <w:rPr>
          <w:rFonts w:ascii="宋体" w:hAnsi="宋体"/>
          <w:color w:val="auto"/>
          <w:sz w:val="24"/>
          <w:highlight w:val="none"/>
        </w:rPr>
      </w:pPr>
      <w:r>
        <w:rPr>
          <w:rFonts w:ascii="宋体" w:hAnsi="宋体"/>
          <w:color w:val="auto"/>
          <w:sz w:val="24"/>
          <w:highlight w:val="none"/>
        </w:rPr>
        <w:t>事实依据：_____________________</w:t>
      </w:r>
    </w:p>
    <w:p w14:paraId="6EC32E14">
      <w:pPr>
        <w:spacing w:line="360" w:lineRule="auto"/>
        <w:ind w:firstLine="480"/>
        <w:rPr>
          <w:rFonts w:ascii="宋体" w:hAnsi="宋体"/>
          <w:color w:val="auto"/>
          <w:sz w:val="24"/>
          <w:highlight w:val="none"/>
        </w:rPr>
      </w:pPr>
      <w:r>
        <w:rPr>
          <w:rFonts w:ascii="宋体" w:hAnsi="宋体"/>
          <w:color w:val="auto"/>
          <w:sz w:val="24"/>
          <w:highlight w:val="none"/>
        </w:rPr>
        <w:t>法律依据：_____________________</w:t>
      </w:r>
    </w:p>
    <w:p w14:paraId="587E663F">
      <w:pPr>
        <w:spacing w:line="360" w:lineRule="auto"/>
        <w:ind w:firstLine="480"/>
        <w:rPr>
          <w:rFonts w:ascii="宋体" w:hAnsi="宋体"/>
          <w:color w:val="auto"/>
          <w:sz w:val="24"/>
          <w:highlight w:val="none"/>
        </w:rPr>
      </w:pPr>
      <w:r>
        <w:rPr>
          <w:rFonts w:ascii="宋体" w:hAnsi="宋体"/>
          <w:color w:val="auto"/>
          <w:sz w:val="24"/>
          <w:highlight w:val="none"/>
        </w:rPr>
        <w:t>投诉事项2：_____________________</w:t>
      </w:r>
    </w:p>
    <w:p w14:paraId="1CDB47D2">
      <w:pPr>
        <w:spacing w:line="360" w:lineRule="auto"/>
        <w:ind w:firstLine="480"/>
        <w:rPr>
          <w:rFonts w:ascii="宋体" w:hAnsi="宋体"/>
          <w:color w:val="auto"/>
          <w:sz w:val="24"/>
          <w:highlight w:val="none"/>
        </w:rPr>
      </w:pPr>
      <w:r>
        <w:rPr>
          <w:rFonts w:ascii="宋体" w:hAnsi="宋体"/>
          <w:color w:val="auto"/>
          <w:sz w:val="24"/>
          <w:highlight w:val="none"/>
        </w:rPr>
        <w:t>……</w:t>
      </w:r>
    </w:p>
    <w:p w14:paraId="10C618B3">
      <w:pPr>
        <w:spacing w:line="360" w:lineRule="auto"/>
        <w:ind w:firstLine="480"/>
        <w:rPr>
          <w:rFonts w:ascii="宋体" w:hAnsi="宋体"/>
          <w:color w:val="auto"/>
          <w:sz w:val="24"/>
          <w:highlight w:val="none"/>
        </w:rPr>
      </w:pPr>
      <w:r>
        <w:rPr>
          <w:rFonts w:ascii="宋体" w:hAnsi="宋体"/>
          <w:color w:val="auto"/>
          <w:sz w:val="24"/>
          <w:highlight w:val="none"/>
        </w:rPr>
        <w:t>五、与投诉事项相关的投诉请求</w:t>
      </w:r>
    </w:p>
    <w:p w14:paraId="18DEAB23">
      <w:pPr>
        <w:spacing w:line="360" w:lineRule="auto"/>
        <w:ind w:firstLine="480"/>
        <w:rPr>
          <w:rFonts w:ascii="宋体" w:hAnsi="宋体"/>
          <w:color w:val="auto"/>
          <w:sz w:val="24"/>
          <w:highlight w:val="none"/>
        </w:rPr>
      </w:pPr>
      <w:r>
        <w:rPr>
          <w:rFonts w:ascii="宋体" w:hAnsi="宋体"/>
          <w:color w:val="auto"/>
          <w:sz w:val="24"/>
          <w:highlight w:val="none"/>
        </w:rPr>
        <w:t>请求：________________________</w:t>
      </w:r>
    </w:p>
    <w:p w14:paraId="5ECAAB23">
      <w:pPr>
        <w:spacing w:line="360" w:lineRule="auto"/>
        <w:ind w:firstLine="480"/>
        <w:rPr>
          <w:rFonts w:ascii="宋体" w:hAnsi="宋体"/>
          <w:color w:val="auto"/>
          <w:sz w:val="24"/>
          <w:highlight w:val="none"/>
        </w:rPr>
      </w:pPr>
    </w:p>
    <w:p w14:paraId="331AAD6D">
      <w:pPr>
        <w:spacing w:line="360" w:lineRule="auto"/>
        <w:rPr>
          <w:rFonts w:ascii="宋体" w:hAnsi="宋体"/>
          <w:color w:val="auto"/>
          <w:sz w:val="24"/>
          <w:highlight w:val="none"/>
        </w:rPr>
      </w:pPr>
      <w:r>
        <w:rPr>
          <w:rFonts w:ascii="宋体" w:hAnsi="宋体"/>
          <w:color w:val="auto"/>
          <w:sz w:val="24"/>
          <w:highlight w:val="none"/>
        </w:rPr>
        <w:t xml:space="preserve"> 签字(签章)： ________公章________</w:t>
      </w:r>
    </w:p>
    <w:p w14:paraId="6B315670">
      <w:pPr>
        <w:spacing w:line="360" w:lineRule="auto"/>
        <w:rPr>
          <w:rFonts w:ascii="宋体" w:hAnsi="宋体"/>
          <w:color w:val="auto"/>
          <w:sz w:val="24"/>
          <w:highlight w:val="none"/>
        </w:rPr>
      </w:pPr>
      <w:r>
        <w:rPr>
          <w:rFonts w:ascii="宋体" w:hAnsi="宋体"/>
          <w:color w:val="auto"/>
          <w:sz w:val="24"/>
          <w:highlight w:val="none"/>
        </w:rPr>
        <w:t>日期：____年____月____日</w:t>
      </w:r>
    </w:p>
    <w:p w14:paraId="1B2AB80F">
      <w:pPr>
        <w:spacing w:line="360" w:lineRule="auto"/>
        <w:ind w:firstLine="480"/>
        <w:rPr>
          <w:rFonts w:ascii="宋体" w:hAnsi="宋体"/>
          <w:color w:val="auto"/>
          <w:sz w:val="24"/>
          <w:highlight w:val="none"/>
        </w:rPr>
      </w:pPr>
    </w:p>
    <w:p w14:paraId="5031863B">
      <w:pPr>
        <w:spacing w:line="360" w:lineRule="auto"/>
        <w:ind w:firstLine="480"/>
        <w:rPr>
          <w:rFonts w:ascii="宋体" w:hAnsi="宋体"/>
          <w:color w:val="auto"/>
          <w:sz w:val="24"/>
          <w:highlight w:val="none"/>
        </w:rPr>
      </w:pPr>
      <w:r>
        <w:rPr>
          <w:rFonts w:ascii="宋体" w:hAnsi="宋体"/>
          <w:color w:val="auto"/>
          <w:sz w:val="24"/>
          <w:highlight w:val="none"/>
        </w:rPr>
        <w:t>投诉书制作说明：</w:t>
      </w:r>
    </w:p>
    <w:p w14:paraId="7A1F7100">
      <w:pPr>
        <w:spacing w:line="360" w:lineRule="auto"/>
        <w:ind w:firstLine="480"/>
        <w:rPr>
          <w:rFonts w:ascii="宋体" w:hAnsi="宋体"/>
          <w:color w:val="auto"/>
          <w:sz w:val="24"/>
          <w:highlight w:val="none"/>
        </w:rPr>
      </w:pPr>
      <w:r>
        <w:rPr>
          <w:rFonts w:ascii="宋体" w:hAnsi="宋体"/>
          <w:color w:val="auto"/>
          <w:sz w:val="24"/>
          <w:highlight w:val="none"/>
        </w:rPr>
        <w:t>1.投诉人提起投诉时，应当提交投诉书和必要的证明材料，并按照被投诉人和与投诉事项有关的供应商数量提供投诉书副本。</w:t>
      </w:r>
    </w:p>
    <w:p w14:paraId="0883ED54">
      <w:pPr>
        <w:spacing w:line="360" w:lineRule="auto"/>
        <w:ind w:firstLine="480"/>
        <w:rPr>
          <w:rFonts w:ascii="宋体" w:hAnsi="宋体"/>
          <w:color w:val="auto"/>
          <w:sz w:val="24"/>
          <w:highlight w:val="none"/>
        </w:rPr>
      </w:pPr>
      <w:r>
        <w:rPr>
          <w:rFonts w:ascii="宋体" w:hAnsi="宋体"/>
          <w:color w:val="auto"/>
          <w:sz w:val="24"/>
          <w:highlight w:val="none"/>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409A1BCA">
      <w:pPr>
        <w:spacing w:line="360" w:lineRule="auto"/>
        <w:ind w:firstLine="480"/>
        <w:rPr>
          <w:rFonts w:ascii="宋体" w:hAnsi="宋体"/>
          <w:color w:val="auto"/>
          <w:sz w:val="24"/>
          <w:highlight w:val="none"/>
        </w:rPr>
      </w:pPr>
      <w:r>
        <w:rPr>
          <w:rFonts w:ascii="宋体" w:hAnsi="宋体"/>
          <w:color w:val="auto"/>
          <w:sz w:val="24"/>
          <w:highlight w:val="none"/>
        </w:rPr>
        <w:t>3.投诉人若对项目的某一分包进行投诉，投诉书应列明具体分包号。</w:t>
      </w:r>
    </w:p>
    <w:p w14:paraId="29B9A89D">
      <w:pPr>
        <w:spacing w:line="360" w:lineRule="auto"/>
        <w:ind w:firstLine="480"/>
        <w:rPr>
          <w:rFonts w:ascii="宋体" w:hAnsi="宋体"/>
          <w:color w:val="auto"/>
          <w:sz w:val="24"/>
          <w:highlight w:val="none"/>
        </w:rPr>
      </w:pPr>
      <w:r>
        <w:rPr>
          <w:rFonts w:ascii="宋体" w:hAnsi="宋体"/>
          <w:color w:val="auto"/>
          <w:sz w:val="24"/>
          <w:highlight w:val="none"/>
        </w:rPr>
        <w:t>4.投诉书应简要列明质疑事项，质疑函、质疑答复等作为附件材料提供。</w:t>
      </w:r>
    </w:p>
    <w:p w14:paraId="455914F3">
      <w:pPr>
        <w:spacing w:line="360" w:lineRule="auto"/>
        <w:ind w:firstLine="480"/>
        <w:rPr>
          <w:rFonts w:ascii="宋体" w:hAnsi="宋体"/>
          <w:color w:val="auto"/>
          <w:sz w:val="24"/>
          <w:highlight w:val="none"/>
        </w:rPr>
      </w:pPr>
      <w:r>
        <w:rPr>
          <w:rFonts w:ascii="宋体" w:hAnsi="宋体"/>
          <w:color w:val="auto"/>
          <w:sz w:val="24"/>
          <w:highlight w:val="none"/>
        </w:rPr>
        <w:t>5.投诉书的投诉事项应具体、明确，并有必要的事实依据和法律依据。</w:t>
      </w:r>
    </w:p>
    <w:p w14:paraId="7FA8F07A">
      <w:pPr>
        <w:spacing w:line="360" w:lineRule="auto"/>
        <w:ind w:firstLine="480"/>
        <w:rPr>
          <w:rFonts w:ascii="宋体" w:hAnsi="宋体"/>
          <w:color w:val="auto"/>
          <w:sz w:val="24"/>
          <w:highlight w:val="none"/>
        </w:rPr>
      </w:pPr>
      <w:r>
        <w:rPr>
          <w:rFonts w:ascii="宋体" w:hAnsi="宋体"/>
          <w:color w:val="auto"/>
          <w:sz w:val="24"/>
          <w:highlight w:val="none"/>
        </w:rPr>
        <w:t>6.投诉书的投诉请求应与投诉事项相关。</w:t>
      </w:r>
    </w:p>
    <w:p w14:paraId="53DB510C">
      <w:pPr>
        <w:spacing w:line="360" w:lineRule="auto"/>
        <w:ind w:firstLine="480"/>
        <w:rPr>
          <w:rFonts w:ascii="宋体" w:hAnsi="宋体"/>
          <w:color w:val="auto"/>
          <w:sz w:val="24"/>
          <w:highlight w:val="none"/>
        </w:rPr>
      </w:pPr>
      <w:r>
        <w:rPr>
          <w:rFonts w:ascii="宋体" w:hAnsi="宋体"/>
          <w:color w:val="auto"/>
          <w:sz w:val="24"/>
          <w:highlight w:val="none"/>
        </w:rPr>
        <w:t>7.投诉人为自然人的，投诉书应当由本人签字；投诉人为法人或者其他组织的，投诉书应当由法定代表人、主要负责人，或者其授权代表签字或者盖章，并加盖公章。</w:t>
      </w:r>
    </w:p>
    <w:p w14:paraId="5498C15C">
      <w:pPr>
        <w:pStyle w:val="10"/>
        <w:pageBreakBefore w:val="0"/>
        <w:overflowPunct/>
        <w:bidi w:val="0"/>
        <w:ind w:right="0"/>
        <w:rPr>
          <w:color w:val="auto"/>
          <w:highlight w:val="none"/>
        </w:rPr>
      </w:pPr>
    </w:p>
    <w:p w14:paraId="7AC2D3CD">
      <w:pPr>
        <w:rPr>
          <w:rFonts w:ascii="黑体" w:hAnsi="黑体" w:eastAsia="黑体" w:cs="黑体"/>
          <w:b/>
          <w:bCs/>
          <w:color w:val="auto"/>
          <w:spacing w:val="-3"/>
          <w:sz w:val="28"/>
          <w:szCs w:val="28"/>
          <w:highlight w:val="none"/>
        </w:rPr>
      </w:pPr>
      <w:r>
        <w:rPr>
          <w:rFonts w:ascii="黑体" w:hAnsi="黑体" w:eastAsia="黑体" w:cs="黑体"/>
          <w:b/>
          <w:bCs/>
          <w:color w:val="auto"/>
          <w:spacing w:val="-3"/>
          <w:sz w:val="28"/>
          <w:szCs w:val="28"/>
          <w:highlight w:val="none"/>
        </w:rPr>
        <w:br w:type="page"/>
      </w:r>
    </w:p>
    <w:p w14:paraId="00A7951C">
      <w:pPr>
        <w:pageBreakBefore w:val="0"/>
        <w:overflowPunct/>
        <w:bidi w:val="0"/>
        <w:spacing w:before="193" w:line="222" w:lineRule="auto"/>
        <w:ind w:left="2845" w:right="0"/>
        <w:outlineLvl w:val="0"/>
        <w:rPr>
          <w:rFonts w:hint="eastAsia" w:ascii="黑体" w:hAnsi="黑体" w:eastAsia="黑体" w:cs="黑体"/>
          <w:b/>
          <w:bCs/>
          <w:color w:val="auto"/>
          <w:spacing w:val="-3"/>
          <w:sz w:val="28"/>
          <w:szCs w:val="28"/>
          <w:highlight w:val="none"/>
          <w:lang w:val="en-US" w:eastAsia="zh-CN"/>
        </w:rPr>
      </w:pPr>
      <w:bookmarkStart w:id="65" w:name="_Toc16112"/>
      <w:bookmarkStart w:id="66" w:name="_Toc31783"/>
      <w:bookmarkStart w:id="67" w:name="_Toc22095"/>
      <w:bookmarkStart w:id="68" w:name="_Toc28024"/>
      <w:r>
        <w:rPr>
          <w:rFonts w:ascii="黑体" w:hAnsi="黑体" w:eastAsia="黑体" w:cs="黑体"/>
          <w:b/>
          <w:bCs/>
          <w:color w:val="auto"/>
          <w:spacing w:val="-3"/>
          <w:sz w:val="28"/>
          <w:szCs w:val="28"/>
          <w:highlight w:val="none"/>
        </w:rPr>
        <w:t>第四章 评标定标办法（</w:t>
      </w:r>
      <w:r>
        <w:rPr>
          <w:rFonts w:ascii="黑体" w:hAnsi="黑体" w:eastAsia="黑体" w:cs="黑体"/>
          <w:b/>
          <w:bCs/>
          <w:color w:val="auto"/>
          <w:spacing w:val="-3"/>
          <w:sz w:val="28"/>
          <w:szCs w:val="28"/>
          <w:highlight w:val="none"/>
          <w:lang w:val="en-US" w:eastAsia="zh-CN"/>
        </w:rPr>
        <w:t>简易评标法</w:t>
      </w:r>
      <w:r>
        <w:rPr>
          <w:rFonts w:ascii="黑体" w:hAnsi="黑体" w:eastAsia="黑体" w:cs="黑体"/>
          <w:b/>
          <w:bCs/>
          <w:color w:val="auto"/>
          <w:spacing w:val="-3"/>
          <w:sz w:val="28"/>
          <w:szCs w:val="28"/>
          <w:highlight w:val="none"/>
        </w:rPr>
        <w:t>）</w:t>
      </w:r>
      <w:bookmarkEnd w:id="65"/>
      <w:bookmarkEnd w:id="66"/>
      <w:bookmarkEnd w:id="67"/>
      <w:bookmarkEnd w:id="68"/>
    </w:p>
    <w:p w14:paraId="7FEE847D">
      <w:pPr>
        <w:pStyle w:val="10"/>
        <w:pageBreakBefore w:val="0"/>
        <w:overflowPunct/>
        <w:bidi w:val="0"/>
        <w:ind w:right="0"/>
        <w:outlineLvl w:val="1"/>
        <w:rPr>
          <w:rFonts w:hint="eastAsia" w:asciiTheme="minorEastAsia" w:hAnsiTheme="minorEastAsia" w:eastAsiaTheme="minorEastAsia" w:cstheme="minorEastAsia"/>
          <w:b/>
          <w:bCs/>
          <w:color w:val="auto"/>
          <w:sz w:val="30"/>
          <w:szCs w:val="30"/>
          <w:highlight w:val="none"/>
        </w:rPr>
      </w:pPr>
      <w:r>
        <w:rPr>
          <w:rFonts w:hint="eastAsia" w:asciiTheme="minorEastAsia" w:hAnsiTheme="minorEastAsia" w:eastAsiaTheme="minorEastAsia" w:cstheme="minorEastAsia"/>
          <w:b/>
          <w:bCs/>
          <w:color w:val="auto"/>
          <w:sz w:val="30"/>
          <w:szCs w:val="30"/>
          <w:highlight w:val="none"/>
        </w:rPr>
        <w:t>评标办法前附表</w:t>
      </w:r>
    </w:p>
    <w:p w14:paraId="13404258">
      <w:pPr>
        <w:pStyle w:val="10"/>
        <w:pageBreakBefore w:val="0"/>
        <w:overflowPunct/>
        <w:bidi w:val="0"/>
        <w:ind w:right="0"/>
        <w:rPr>
          <w:color w:val="auto"/>
          <w:highlight w:val="none"/>
        </w:rPr>
      </w:pPr>
    </w:p>
    <w:tbl>
      <w:tblPr>
        <w:tblStyle w:val="21"/>
        <w:tblW w:w="9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28"/>
        <w:gridCol w:w="1027"/>
        <w:gridCol w:w="1834"/>
        <w:gridCol w:w="5885"/>
      </w:tblGrid>
      <w:tr w14:paraId="4898F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855" w:type="dxa"/>
            <w:gridSpan w:val="2"/>
            <w:shd w:val="clear" w:color="auto" w:fill="E6E6E6"/>
            <w:vAlign w:val="top"/>
          </w:tcPr>
          <w:p w14:paraId="668B0BB7">
            <w:pPr>
              <w:pStyle w:val="10"/>
              <w:pageBreakBefore w:val="0"/>
              <w:overflowPunct/>
              <w:bidi w:val="0"/>
              <w:ind w:right="0"/>
              <w:jc w:val="center"/>
              <w:rPr>
                <w:rFonts w:hint="eastAsia" w:asciiTheme="minorEastAsia" w:hAnsiTheme="minorEastAsia" w:eastAsiaTheme="minorEastAsia" w:cstheme="minorEastAsia"/>
                <w:color w:val="auto"/>
                <w:sz w:val="21"/>
                <w:szCs w:val="21"/>
                <w:highlight w:val="none"/>
              </w:rPr>
            </w:pPr>
            <w:bookmarkStart w:id="69" w:name="bookmark5"/>
            <w:bookmarkEnd w:id="69"/>
            <w:r>
              <w:rPr>
                <w:rFonts w:hint="eastAsia" w:asciiTheme="minorEastAsia" w:hAnsiTheme="minorEastAsia" w:eastAsiaTheme="minorEastAsia" w:cstheme="minorEastAsia"/>
                <w:b/>
                <w:bCs/>
                <w:color w:val="auto"/>
                <w:spacing w:val="5"/>
                <w:sz w:val="21"/>
                <w:szCs w:val="21"/>
                <w:highlight w:val="none"/>
              </w:rPr>
              <w:t>条款号</w:t>
            </w:r>
          </w:p>
        </w:tc>
        <w:tc>
          <w:tcPr>
            <w:tcW w:w="1834" w:type="dxa"/>
            <w:shd w:val="clear" w:color="auto" w:fill="E6E6E6"/>
            <w:vAlign w:val="top"/>
          </w:tcPr>
          <w:p w14:paraId="47E83E80">
            <w:pPr>
              <w:pStyle w:val="22"/>
              <w:pageBreakBefore w:val="0"/>
              <w:overflowPunct/>
              <w:bidi w:val="0"/>
              <w:spacing w:before="87" w:line="225" w:lineRule="auto"/>
              <w:ind w:left="574"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6"/>
                <w:sz w:val="21"/>
                <w:szCs w:val="21"/>
                <w:highlight w:val="none"/>
              </w:rPr>
              <w:t>评审因素</w:t>
            </w:r>
          </w:p>
        </w:tc>
        <w:tc>
          <w:tcPr>
            <w:tcW w:w="5885" w:type="dxa"/>
            <w:shd w:val="clear" w:color="auto" w:fill="E6E6E6"/>
            <w:vAlign w:val="top"/>
          </w:tcPr>
          <w:p w14:paraId="42DF05F9">
            <w:pPr>
              <w:pStyle w:val="22"/>
              <w:pageBreakBefore w:val="0"/>
              <w:overflowPunct/>
              <w:bidi w:val="0"/>
              <w:spacing w:before="87" w:line="225" w:lineRule="auto"/>
              <w:ind w:left="2449"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6"/>
                <w:sz w:val="21"/>
                <w:szCs w:val="21"/>
                <w:highlight w:val="none"/>
              </w:rPr>
              <w:t>评审标准</w:t>
            </w:r>
          </w:p>
        </w:tc>
      </w:tr>
      <w:tr w14:paraId="37AB1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828" w:type="dxa"/>
            <w:vMerge w:val="restart"/>
            <w:vAlign w:val="top"/>
          </w:tcPr>
          <w:p w14:paraId="6E86125B">
            <w:pPr>
              <w:pageBreakBefore w:val="0"/>
              <w:overflowPunct/>
              <w:bidi w:val="0"/>
              <w:spacing w:line="347" w:lineRule="auto"/>
              <w:ind w:right="0"/>
              <w:rPr>
                <w:rFonts w:hint="eastAsia" w:asciiTheme="minorEastAsia" w:hAnsiTheme="minorEastAsia" w:eastAsiaTheme="minorEastAsia" w:cstheme="minorEastAsia"/>
                <w:color w:val="auto"/>
                <w:sz w:val="21"/>
                <w:szCs w:val="21"/>
                <w:highlight w:val="none"/>
              </w:rPr>
            </w:pPr>
          </w:p>
          <w:p w14:paraId="35D1A804">
            <w:pPr>
              <w:pageBreakBefore w:val="0"/>
              <w:overflowPunct/>
              <w:bidi w:val="0"/>
              <w:spacing w:line="347" w:lineRule="auto"/>
              <w:ind w:right="0"/>
              <w:rPr>
                <w:rFonts w:hint="eastAsia" w:asciiTheme="minorEastAsia" w:hAnsiTheme="minorEastAsia" w:eastAsiaTheme="minorEastAsia" w:cstheme="minorEastAsia"/>
                <w:color w:val="auto"/>
                <w:sz w:val="21"/>
                <w:szCs w:val="21"/>
                <w:highlight w:val="none"/>
              </w:rPr>
            </w:pPr>
          </w:p>
          <w:p w14:paraId="4EC83A34">
            <w:pPr>
              <w:pStyle w:val="22"/>
              <w:pageBreakBefore w:val="0"/>
              <w:overflowPunct/>
              <w:bidi w:val="0"/>
              <w:spacing w:before="65" w:line="267" w:lineRule="exact"/>
              <w:ind w:left="159"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position w:val="1"/>
                <w:sz w:val="21"/>
                <w:szCs w:val="21"/>
                <w:highlight w:val="none"/>
              </w:rPr>
              <w:t>2.1.1</w:t>
            </w:r>
          </w:p>
        </w:tc>
        <w:tc>
          <w:tcPr>
            <w:tcW w:w="1027" w:type="dxa"/>
            <w:vMerge w:val="restart"/>
            <w:vAlign w:val="top"/>
          </w:tcPr>
          <w:p w14:paraId="56C8FB92">
            <w:pPr>
              <w:pageBreakBefore w:val="0"/>
              <w:overflowPunct/>
              <w:bidi w:val="0"/>
              <w:spacing w:line="266" w:lineRule="auto"/>
              <w:ind w:right="0"/>
              <w:rPr>
                <w:rFonts w:hint="eastAsia" w:asciiTheme="minorEastAsia" w:hAnsiTheme="minorEastAsia" w:eastAsiaTheme="minorEastAsia" w:cstheme="minorEastAsia"/>
                <w:color w:val="auto"/>
                <w:sz w:val="21"/>
                <w:szCs w:val="21"/>
                <w:highlight w:val="none"/>
              </w:rPr>
            </w:pPr>
          </w:p>
          <w:p w14:paraId="0649F8E1">
            <w:pPr>
              <w:pageBreakBefore w:val="0"/>
              <w:overflowPunct/>
              <w:bidi w:val="0"/>
              <w:spacing w:line="267" w:lineRule="auto"/>
              <w:ind w:right="0"/>
              <w:rPr>
                <w:rFonts w:hint="eastAsia" w:asciiTheme="minorEastAsia" w:hAnsiTheme="minorEastAsia" w:eastAsiaTheme="minorEastAsia" w:cstheme="minorEastAsia"/>
                <w:color w:val="auto"/>
                <w:sz w:val="21"/>
                <w:szCs w:val="21"/>
                <w:highlight w:val="none"/>
              </w:rPr>
            </w:pPr>
          </w:p>
          <w:p w14:paraId="566A4E2E">
            <w:pPr>
              <w:pStyle w:val="22"/>
              <w:pageBreakBefore w:val="0"/>
              <w:overflowPunct/>
              <w:bidi w:val="0"/>
              <w:spacing w:before="65" w:line="299" w:lineRule="auto"/>
              <w:ind w:left="213" w:right="0" w:hanging="8"/>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形式评</w:t>
            </w:r>
            <w:r>
              <w:rPr>
                <w:rFonts w:hint="eastAsia" w:asciiTheme="minorEastAsia" w:hAnsiTheme="minorEastAsia" w:eastAsiaTheme="minorEastAsia" w:cstheme="minorEastAsia"/>
                <w:color w:val="auto"/>
                <w:spacing w:val="3"/>
                <w:sz w:val="21"/>
                <w:szCs w:val="21"/>
                <w:highlight w:val="none"/>
              </w:rPr>
              <w:t>审标准</w:t>
            </w:r>
          </w:p>
        </w:tc>
        <w:tc>
          <w:tcPr>
            <w:tcW w:w="1834" w:type="dxa"/>
            <w:vAlign w:val="top"/>
          </w:tcPr>
          <w:p w14:paraId="60341C9A">
            <w:pPr>
              <w:pStyle w:val="22"/>
              <w:pageBreakBefore w:val="0"/>
              <w:overflowPunct/>
              <w:bidi w:val="0"/>
              <w:spacing w:before="274" w:line="228" w:lineRule="auto"/>
              <w:ind w:left="474"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投标人名称</w:t>
            </w:r>
          </w:p>
        </w:tc>
        <w:tc>
          <w:tcPr>
            <w:tcW w:w="5885" w:type="dxa"/>
            <w:vAlign w:val="top"/>
          </w:tcPr>
          <w:p w14:paraId="0E49DE10">
            <w:pPr>
              <w:pStyle w:val="22"/>
              <w:pageBreakBefore w:val="0"/>
              <w:overflowPunct/>
              <w:bidi w:val="0"/>
              <w:spacing w:before="113" w:line="274" w:lineRule="auto"/>
              <w:ind w:left="115" w:right="0" w:firstLine="3"/>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1"/>
                <w:sz w:val="21"/>
                <w:szCs w:val="21"/>
                <w:highlight w:val="none"/>
              </w:rPr>
              <w:t>与营业执照、资质证书、基本存款账户（适用于以现金方式</w:t>
            </w:r>
            <w:r>
              <w:rPr>
                <w:rFonts w:hint="eastAsia" w:asciiTheme="minorEastAsia" w:hAnsiTheme="minorEastAsia" w:eastAsiaTheme="minorEastAsia" w:cstheme="minorEastAsia"/>
                <w:color w:val="auto"/>
                <w:spacing w:val="9"/>
                <w:sz w:val="21"/>
                <w:szCs w:val="21"/>
                <w:highlight w:val="none"/>
              </w:rPr>
              <w:t>提交投标保证金的投标人）等证件的单位名称一致；</w:t>
            </w:r>
          </w:p>
        </w:tc>
      </w:tr>
      <w:tr w14:paraId="34271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828" w:type="dxa"/>
            <w:vMerge w:val="continue"/>
            <w:vAlign w:val="top"/>
          </w:tcPr>
          <w:p w14:paraId="3845431C">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vAlign w:val="top"/>
          </w:tcPr>
          <w:p w14:paraId="07CE0EAB">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4496C20C">
            <w:pPr>
              <w:pStyle w:val="22"/>
              <w:pageBreakBefore w:val="0"/>
              <w:overflowPunct/>
              <w:bidi w:val="0"/>
              <w:spacing w:before="77" w:line="257" w:lineRule="auto"/>
              <w:ind w:left="375" w:right="0" w:hanging="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投标文件签字</w:t>
            </w:r>
            <w:r>
              <w:rPr>
                <w:rFonts w:hint="eastAsia" w:asciiTheme="minorEastAsia" w:hAnsiTheme="minorEastAsia" w:eastAsiaTheme="minorEastAsia" w:cstheme="minorEastAsia"/>
                <w:color w:val="auto"/>
                <w:spacing w:val="6"/>
                <w:sz w:val="21"/>
                <w:szCs w:val="21"/>
                <w:highlight w:val="none"/>
              </w:rPr>
              <w:t>（章）、盖章</w:t>
            </w:r>
          </w:p>
        </w:tc>
        <w:tc>
          <w:tcPr>
            <w:tcW w:w="5885" w:type="dxa"/>
            <w:vAlign w:val="top"/>
          </w:tcPr>
          <w:p w14:paraId="3F2F7175">
            <w:pPr>
              <w:pStyle w:val="22"/>
              <w:pageBreakBefore w:val="0"/>
              <w:overflowPunct/>
              <w:bidi w:val="0"/>
              <w:spacing w:before="238" w:line="227" w:lineRule="auto"/>
              <w:ind w:left="11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符合第三章“投标人须知</w:t>
            </w:r>
            <w:r>
              <w:rPr>
                <w:rFonts w:hint="eastAsia" w:asciiTheme="minorEastAsia" w:hAnsiTheme="minorEastAsia" w:eastAsiaTheme="minorEastAsia" w:cstheme="minorEastAsia"/>
                <w:color w:val="auto"/>
                <w:spacing w:val="-55"/>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”第</w:t>
            </w:r>
            <w:r>
              <w:rPr>
                <w:rFonts w:hint="eastAsia" w:asciiTheme="minorEastAsia" w:hAnsiTheme="minorEastAsia" w:eastAsiaTheme="minorEastAsia" w:cstheme="minorEastAsia"/>
                <w:color w:val="auto"/>
                <w:spacing w:val="-35"/>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3.8.</w:t>
            </w:r>
            <w:r>
              <w:rPr>
                <w:rFonts w:hint="eastAsia" w:asciiTheme="minorEastAsia" w:hAnsiTheme="minorEastAsia" w:eastAsiaTheme="minorEastAsia" w:cstheme="minorEastAsia"/>
                <w:color w:val="auto"/>
                <w:spacing w:val="5"/>
                <w:sz w:val="21"/>
                <w:szCs w:val="21"/>
                <w:highlight w:val="none"/>
                <w:lang w:val="en-US" w:eastAsia="zh-CN"/>
              </w:rPr>
              <w:t>3</w:t>
            </w:r>
            <w:r>
              <w:rPr>
                <w:rFonts w:hint="eastAsia" w:asciiTheme="minorEastAsia" w:hAnsiTheme="minorEastAsia" w:eastAsiaTheme="minorEastAsia" w:cstheme="minorEastAsia"/>
                <w:color w:val="auto"/>
                <w:spacing w:val="-37"/>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款规定</w:t>
            </w:r>
          </w:p>
        </w:tc>
      </w:tr>
      <w:tr w14:paraId="2F3BB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vAlign w:val="top"/>
          </w:tcPr>
          <w:p w14:paraId="6A57BDC5">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vAlign w:val="top"/>
          </w:tcPr>
          <w:p w14:paraId="21090203">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3CBCFA0C">
            <w:pPr>
              <w:pStyle w:val="22"/>
              <w:pageBreakBefore w:val="0"/>
              <w:overflowPunct/>
              <w:bidi w:val="0"/>
              <w:spacing w:before="78" w:line="218" w:lineRule="auto"/>
              <w:ind w:left="575"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报价唯一</w:t>
            </w:r>
          </w:p>
        </w:tc>
        <w:tc>
          <w:tcPr>
            <w:tcW w:w="5885" w:type="dxa"/>
            <w:vAlign w:val="top"/>
          </w:tcPr>
          <w:p w14:paraId="5D96CDB5">
            <w:pPr>
              <w:pStyle w:val="22"/>
              <w:pageBreakBefore w:val="0"/>
              <w:overflowPunct/>
              <w:bidi w:val="0"/>
              <w:spacing w:before="78" w:line="218" w:lineRule="auto"/>
              <w:ind w:left="127"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只能有一个有效报价</w:t>
            </w:r>
          </w:p>
        </w:tc>
      </w:tr>
      <w:tr w14:paraId="3004B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vAlign w:val="top"/>
          </w:tcPr>
          <w:p w14:paraId="37E76214">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vAlign w:val="top"/>
          </w:tcPr>
          <w:p w14:paraId="20E59AB4">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1CD66D65">
            <w:pPr>
              <w:pStyle w:val="22"/>
              <w:pageBreakBefore w:val="0"/>
              <w:overflowPunct/>
              <w:bidi w:val="0"/>
              <w:spacing w:before="78" w:line="218" w:lineRule="auto"/>
              <w:ind w:left="0" w:right="0"/>
              <w:jc w:val="center"/>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en-US" w:bidi="ar-SA"/>
              </w:rPr>
              <w:t>否决性条款集中载明的情形</w:t>
            </w:r>
          </w:p>
        </w:tc>
        <w:tc>
          <w:tcPr>
            <w:tcW w:w="5885" w:type="dxa"/>
            <w:vAlign w:val="center"/>
          </w:tcPr>
          <w:p w14:paraId="48140454">
            <w:pPr>
              <w:pStyle w:val="22"/>
              <w:pageBreakBefore w:val="0"/>
              <w:overflowPunct/>
              <w:bidi w:val="0"/>
              <w:spacing w:before="78" w:line="218" w:lineRule="auto"/>
              <w:ind w:left="127" w:right="0"/>
              <w:jc w:val="both"/>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en-US" w:bidi="ar-SA"/>
              </w:rPr>
              <w:t>不存在否决性条款集中载明的情形规定</w:t>
            </w:r>
          </w:p>
        </w:tc>
      </w:tr>
      <w:tr w14:paraId="0F461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restart"/>
            <w:vAlign w:val="top"/>
          </w:tcPr>
          <w:p w14:paraId="4E6C398D">
            <w:pPr>
              <w:pageBreakBefore w:val="0"/>
              <w:overflowPunct/>
              <w:bidi w:val="0"/>
              <w:spacing w:line="253" w:lineRule="auto"/>
              <w:ind w:right="0"/>
              <w:rPr>
                <w:rFonts w:hint="eastAsia" w:asciiTheme="minorEastAsia" w:hAnsiTheme="minorEastAsia" w:eastAsiaTheme="minorEastAsia" w:cstheme="minorEastAsia"/>
                <w:color w:val="auto"/>
                <w:sz w:val="21"/>
                <w:szCs w:val="21"/>
                <w:highlight w:val="none"/>
              </w:rPr>
            </w:pPr>
          </w:p>
          <w:p w14:paraId="770EBB59">
            <w:pPr>
              <w:pageBreakBefore w:val="0"/>
              <w:overflowPunct/>
              <w:bidi w:val="0"/>
              <w:spacing w:line="253" w:lineRule="auto"/>
              <w:ind w:right="0"/>
              <w:rPr>
                <w:rFonts w:hint="eastAsia" w:asciiTheme="minorEastAsia" w:hAnsiTheme="minorEastAsia" w:eastAsiaTheme="minorEastAsia" w:cstheme="minorEastAsia"/>
                <w:color w:val="auto"/>
                <w:sz w:val="21"/>
                <w:szCs w:val="21"/>
                <w:highlight w:val="none"/>
              </w:rPr>
            </w:pPr>
          </w:p>
          <w:p w14:paraId="547C6360">
            <w:pPr>
              <w:pStyle w:val="22"/>
              <w:pageBreakBefore w:val="0"/>
              <w:overflowPunct/>
              <w:bidi w:val="0"/>
              <w:spacing w:before="65" w:line="267" w:lineRule="exact"/>
              <w:ind w:left="159"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position w:val="1"/>
                <w:sz w:val="21"/>
                <w:szCs w:val="21"/>
                <w:highlight w:val="none"/>
              </w:rPr>
              <w:t>2.1.2</w:t>
            </w:r>
          </w:p>
        </w:tc>
        <w:tc>
          <w:tcPr>
            <w:tcW w:w="1027" w:type="dxa"/>
            <w:vMerge w:val="restart"/>
            <w:vAlign w:val="top"/>
          </w:tcPr>
          <w:p w14:paraId="08CA918E">
            <w:pPr>
              <w:pageBreakBefore w:val="0"/>
              <w:overflowPunct/>
              <w:bidi w:val="0"/>
              <w:spacing w:line="345" w:lineRule="auto"/>
              <w:ind w:right="0"/>
              <w:rPr>
                <w:rFonts w:hint="eastAsia" w:asciiTheme="minorEastAsia" w:hAnsiTheme="minorEastAsia" w:eastAsiaTheme="minorEastAsia" w:cstheme="minorEastAsia"/>
                <w:color w:val="auto"/>
                <w:sz w:val="21"/>
                <w:szCs w:val="21"/>
                <w:highlight w:val="none"/>
              </w:rPr>
            </w:pPr>
          </w:p>
          <w:p w14:paraId="4A1D88C8">
            <w:pPr>
              <w:pStyle w:val="22"/>
              <w:pageBreakBefore w:val="0"/>
              <w:overflowPunct/>
              <w:bidi w:val="0"/>
              <w:spacing w:before="65" w:line="299" w:lineRule="auto"/>
              <w:ind w:left="212" w:right="0" w:hanging="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资格评审标准</w:t>
            </w:r>
          </w:p>
        </w:tc>
        <w:tc>
          <w:tcPr>
            <w:tcW w:w="1834" w:type="dxa"/>
            <w:vAlign w:val="top"/>
          </w:tcPr>
          <w:p w14:paraId="45CC8CDA">
            <w:pPr>
              <w:pStyle w:val="22"/>
              <w:pageBreakBefore w:val="0"/>
              <w:overflowPunct/>
              <w:bidi w:val="0"/>
              <w:spacing w:before="79" w:line="217" w:lineRule="auto"/>
              <w:ind w:left="583"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营业执照</w:t>
            </w:r>
          </w:p>
        </w:tc>
        <w:tc>
          <w:tcPr>
            <w:tcW w:w="5885" w:type="dxa"/>
            <w:vAlign w:val="top"/>
          </w:tcPr>
          <w:p w14:paraId="1D04EE58">
            <w:pPr>
              <w:pStyle w:val="22"/>
              <w:pageBreakBefore w:val="0"/>
              <w:overflowPunct/>
              <w:bidi w:val="0"/>
              <w:spacing w:before="79" w:line="217" w:lineRule="auto"/>
              <w:ind w:left="119"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具备有效的营业执照</w:t>
            </w:r>
          </w:p>
        </w:tc>
      </w:tr>
      <w:tr w14:paraId="16C25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vAlign w:val="top"/>
          </w:tcPr>
          <w:p w14:paraId="5C6C8CE9">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vAlign w:val="top"/>
          </w:tcPr>
          <w:p w14:paraId="12CE753E">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73320748">
            <w:pPr>
              <w:pStyle w:val="22"/>
              <w:pageBreakBefore w:val="0"/>
              <w:overflowPunct/>
              <w:bidi w:val="0"/>
              <w:spacing w:before="78" w:line="218" w:lineRule="auto"/>
              <w:ind w:left="58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资质要求</w:t>
            </w:r>
          </w:p>
        </w:tc>
        <w:tc>
          <w:tcPr>
            <w:tcW w:w="5885" w:type="dxa"/>
            <w:vAlign w:val="top"/>
          </w:tcPr>
          <w:p w14:paraId="5DFCCB79">
            <w:pPr>
              <w:pStyle w:val="22"/>
              <w:pageBreakBefore w:val="0"/>
              <w:overflowPunct/>
              <w:bidi w:val="0"/>
              <w:spacing w:before="78" w:line="218" w:lineRule="auto"/>
              <w:ind w:left="11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符合本项目招标公告的要求</w:t>
            </w:r>
          </w:p>
        </w:tc>
      </w:tr>
      <w:tr w14:paraId="487AC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vAlign w:val="top"/>
          </w:tcPr>
          <w:p w14:paraId="70F17205">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vAlign w:val="top"/>
          </w:tcPr>
          <w:p w14:paraId="4E9A216C">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1B4A172C">
            <w:pPr>
              <w:pStyle w:val="22"/>
              <w:pageBreakBefore w:val="0"/>
              <w:overflowPunct/>
              <w:bidi w:val="0"/>
              <w:spacing w:before="79" w:line="217" w:lineRule="auto"/>
              <w:ind w:left="78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4"/>
                <w:sz w:val="21"/>
                <w:szCs w:val="21"/>
                <w:highlight w:val="none"/>
              </w:rPr>
              <w:t>信誉</w:t>
            </w:r>
          </w:p>
        </w:tc>
        <w:tc>
          <w:tcPr>
            <w:tcW w:w="5885" w:type="dxa"/>
            <w:vAlign w:val="top"/>
          </w:tcPr>
          <w:p w14:paraId="72D1E3BD">
            <w:pPr>
              <w:pStyle w:val="22"/>
              <w:pageBreakBefore w:val="0"/>
              <w:overflowPunct/>
              <w:bidi w:val="0"/>
              <w:spacing w:before="79" w:line="217" w:lineRule="auto"/>
              <w:ind w:left="11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符合本招标项目招标公告的要求</w:t>
            </w:r>
          </w:p>
        </w:tc>
      </w:tr>
      <w:tr w14:paraId="3D9DD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vAlign w:val="top"/>
          </w:tcPr>
          <w:p w14:paraId="70DCFD88">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vAlign w:val="top"/>
          </w:tcPr>
          <w:p w14:paraId="6BD82EB5">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486B0510">
            <w:pPr>
              <w:pStyle w:val="22"/>
              <w:pageBreakBefore w:val="0"/>
              <w:overflowPunct/>
              <w:bidi w:val="0"/>
              <w:spacing w:before="78" w:line="218" w:lineRule="auto"/>
              <w:ind w:left="78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4"/>
                <w:sz w:val="21"/>
                <w:szCs w:val="21"/>
                <w:highlight w:val="none"/>
              </w:rPr>
              <w:t>其他</w:t>
            </w:r>
          </w:p>
        </w:tc>
        <w:tc>
          <w:tcPr>
            <w:tcW w:w="5885" w:type="dxa"/>
            <w:vAlign w:val="top"/>
          </w:tcPr>
          <w:p w14:paraId="736437A5">
            <w:pPr>
              <w:pStyle w:val="22"/>
              <w:pageBreakBefore w:val="0"/>
              <w:overflowPunct/>
              <w:bidi w:val="0"/>
              <w:spacing w:before="78" w:line="218" w:lineRule="auto"/>
              <w:ind w:left="11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符合本项目招标公告的其他要求</w:t>
            </w:r>
          </w:p>
        </w:tc>
      </w:tr>
      <w:tr w14:paraId="168A6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vAlign w:val="top"/>
          </w:tcPr>
          <w:p w14:paraId="730C80EC">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vAlign w:val="top"/>
          </w:tcPr>
          <w:p w14:paraId="2828F54A">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7661EBFE">
            <w:pPr>
              <w:pStyle w:val="22"/>
              <w:pageBreakBefore w:val="0"/>
              <w:overflowPunct/>
              <w:bidi w:val="0"/>
              <w:spacing w:before="78" w:line="218" w:lineRule="auto"/>
              <w:ind w:left="0" w:right="0"/>
              <w:jc w:val="center"/>
              <w:rPr>
                <w:rFonts w:hint="eastAsia" w:asciiTheme="minorEastAsia" w:hAnsiTheme="minorEastAsia" w:eastAsiaTheme="minorEastAsia" w:cstheme="minorEastAsia"/>
                <w:color w:val="auto"/>
                <w:spacing w:val="4"/>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en-US" w:bidi="ar-SA"/>
              </w:rPr>
              <w:t>否决性条款集中载明的情形</w:t>
            </w:r>
          </w:p>
        </w:tc>
        <w:tc>
          <w:tcPr>
            <w:tcW w:w="5885" w:type="dxa"/>
            <w:vAlign w:val="center"/>
          </w:tcPr>
          <w:p w14:paraId="0DDB09EA">
            <w:pPr>
              <w:pStyle w:val="22"/>
              <w:pageBreakBefore w:val="0"/>
              <w:overflowPunct/>
              <w:bidi w:val="0"/>
              <w:spacing w:before="78" w:line="218" w:lineRule="auto"/>
              <w:ind w:left="116" w:right="0"/>
              <w:rPr>
                <w:rFonts w:hint="eastAsia" w:asciiTheme="minorEastAsia" w:hAnsiTheme="minorEastAsia" w:eastAsiaTheme="minorEastAsia" w:cstheme="minorEastAsia"/>
                <w:color w:val="auto"/>
                <w:spacing w:val="9"/>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en-US" w:bidi="ar-SA"/>
              </w:rPr>
              <w:t>不存在否决性条款集中载明的情形规定</w:t>
            </w:r>
          </w:p>
        </w:tc>
      </w:tr>
      <w:tr w14:paraId="6135E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restart"/>
            <w:tcBorders>
              <w:bottom w:val="nil"/>
            </w:tcBorders>
            <w:vAlign w:val="top"/>
          </w:tcPr>
          <w:p w14:paraId="6A35270F">
            <w:pPr>
              <w:pageBreakBefore w:val="0"/>
              <w:overflowPunct/>
              <w:bidi w:val="0"/>
              <w:spacing w:line="289" w:lineRule="auto"/>
              <w:ind w:right="0"/>
              <w:rPr>
                <w:rFonts w:hint="eastAsia" w:asciiTheme="minorEastAsia" w:hAnsiTheme="minorEastAsia" w:eastAsiaTheme="minorEastAsia" w:cstheme="minorEastAsia"/>
                <w:color w:val="auto"/>
                <w:sz w:val="21"/>
                <w:szCs w:val="21"/>
                <w:highlight w:val="none"/>
              </w:rPr>
            </w:pPr>
          </w:p>
          <w:p w14:paraId="082635D6">
            <w:pPr>
              <w:pageBreakBefore w:val="0"/>
              <w:overflowPunct/>
              <w:bidi w:val="0"/>
              <w:spacing w:line="289" w:lineRule="auto"/>
              <w:ind w:right="0"/>
              <w:rPr>
                <w:rFonts w:hint="eastAsia" w:asciiTheme="minorEastAsia" w:hAnsiTheme="minorEastAsia" w:eastAsiaTheme="minorEastAsia" w:cstheme="minorEastAsia"/>
                <w:color w:val="auto"/>
                <w:sz w:val="21"/>
                <w:szCs w:val="21"/>
                <w:highlight w:val="none"/>
              </w:rPr>
            </w:pPr>
          </w:p>
          <w:p w14:paraId="72715A67">
            <w:pPr>
              <w:pageBreakBefore w:val="0"/>
              <w:overflowPunct/>
              <w:bidi w:val="0"/>
              <w:spacing w:line="289" w:lineRule="auto"/>
              <w:ind w:right="0"/>
              <w:rPr>
                <w:rFonts w:hint="eastAsia" w:asciiTheme="minorEastAsia" w:hAnsiTheme="minorEastAsia" w:eastAsiaTheme="minorEastAsia" w:cstheme="minorEastAsia"/>
                <w:color w:val="auto"/>
                <w:sz w:val="21"/>
                <w:szCs w:val="21"/>
                <w:highlight w:val="none"/>
              </w:rPr>
            </w:pPr>
          </w:p>
          <w:p w14:paraId="1B339D43">
            <w:pPr>
              <w:pageBreakBefore w:val="0"/>
              <w:overflowPunct/>
              <w:bidi w:val="0"/>
              <w:spacing w:line="290" w:lineRule="auto"/>
              <w:ind w:right="0"/>
              <w:rPr>
                <w:rFonts w:hint="eastAsia" w:asciiTheme="minorEastAsia" w:hAnsiTheme="minorEastAsia" w:eastAsiaTheme="minorEastAsia" w:cstheme="minorEastAsia"/>
                <w:color w:val="auto"/>
                <w:sz w:val="21"/>
                <w:szCs w:val="21"/>
                <w:highlight w:val="none"/>
              </w:rPr>
            </w:pPr>
          </w:p>
          <w:p w14:paraId="3396D300">
            <w:pPr>
              <w:pStyle w:val="22"/>
              <w:pageBreakBefore w:val="0"/>
              <w:overflowPunct/>
              <w:bidi w:val="0"/>
              <w:spacing w:before="65" w:line="267" w:lineRule="exact"/>
              <w:ind w:left="159"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position w:val="1"/>
                <w:sz w:val="21"/>
                <w:szCs w:val="21"/>
                <w:highlight w:val="none"/>
              </w:rPr>
              <w:t>2.1.3</w:t>
            </w:r>
          </w:p>
        </w:tc>
        <w:tc>
          <w:tcPr>
            <w:tcW w:w="1027" w:type="dxa"/>
            <w:vMerge w:val="restart"/>
            <w:tcBorders>
              <w:bottom w:val="nil"/>
            </w:tcBorders>
            <w:vAlign w:val="top"/>
          </w:tcPr>
          <w:p w14:paraId="226E48FC">
            <w:pPr>
              <w:pageBreakBefore w:val="0"/>
              <w:overflowPunct/>
              <w:bidi w:val="0"/>
              <w:spacing w:line="279" w:lineRule="auto"/>
              <w:ind w:right="0"/>
              <w:rPr>
                <w:rFonts w:hint="eastAsia" w:asciiTheme="minorEastAsia" w:hAnsiTheme="minorEastAsia" w:eastAsiaTheme="minorEastAsia" w:cstheme="minorEastAsia"/>
                <w:color w:val="auto"/>
                <w:sz w:val="21"/>
                <w:szCs w:val="21"/>
                <w:highlight w:val="none"/>
              </w:rPr>
            </w:pPr>
          </w:p>
          <w:p w14:paraId="663E3021">
            <w:pPr>
              <w:pageBreakBefore w:val="0"/>
              <w:overflowPunct/>
              <w:bidi w:val="0"/>
              <w:spacing w:line="279" w:lineRule="auto"/>
              <w:ind w:right="0"/>
              <w:rPr>
                <w:rFonts w:hint="eastAsia" w:asciiTheme="minorEastAsia" w:hAnsiTheme="minorEastAsia" w:eastAsiaTheme="minorEastAsia" w:cstheme="minorEastAsia"/>
                <w:color w:val="auto"/>
                <w:sz w:val="21"/>
                <w:szCs w:val="21"/>
                <w:highlight w:val="none"/>
              </w:rPr>
            </w:pPr>
          </w:p>
          <w:p w14:paraId="36154ED2">
            <w:pPr>
              <w:pageBreakBefore w:val="0"/>
              <w:overflowPunct/>
              <w:bidi w:val="0"/>
              <w:spacing w:line="279" w:lineRule="auto"/>
              <w:ind w:right="0"/>
              <w:rPr>
                <w:rFonts w:hint="eastAsia" w:asciiTheme="minorEastAsia" w:hAnsiTheme="minorEastAsia" w:eastAsiaTheme="minorEastAsia" w:cstheme="minorEastAsia"/>
                <w:color w:val="auto"/>
                <w:sz w:val="21"/>
                <w:szCs w:val="21"/>
                <w:highlight w:val="none"/>
              </w:rPr>
            </w:pPr>
          </w:p>
          <w:p w14:paraId="4BD668EA">
            <w:pPr>
              <w:pStyle w:val="22"/>
              <w:pageBreakBefore w:val="0"/>
              <w:overflowPunct/>
              <w:bidi w:val="0"/>
              <w:spacing w:before="65" w:line="229" w:lineRule="auto"/>
              <w:ind w:left="213"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响应性</w:t>
            </w:r>
          </w:p>
          <w:p w14:paraId="2D42C1B9">
            <w:pPr>
              <w:pStyle w:val="22"/>
              <w:pageBreakBefore w:val="0"/>
              <w:overflowPunct/>
              <w:bidi w:val="0"/>
              <w:spacing w:before="73" w:line="228" w:lineRule="auto"/>
              <w:ind w:left="201"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评审标</w:t>
            </w:r>
          </w:p>
          <w:p w14:paraId="46CA17CE">
            <w:pPr>
              <w:pStyle w:val="22"/>
              <w:pageBreakBefore w:val="0"/>
              <w:overflowPunct/>
              <w:bidi w:val="0"/>
              <w:spacing w:before="71" w:line="229" w:lineRule="auto"/>
              <w:ind w:left="415"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准</w:t>
            </w:r>
          </w:p>
        </w:tc>
        <w:tc>
          <w:tcPr>
            <w:tcW w:w="1834" w:type="dxa"/>
            <w:vAlign w:val="top"/>
          </w:tcPr>
          <w:p w14:paraId="5CB780D6">
            <w:pPr>
              <w:pStyle w:val="22"/>
              <w:pageBreakBefore w:val="0"/>
              <w:overflowPunct/>
              <w:bidi w:val="0"/>
              <w:spacing w:before="79" w:line="217" w:lineRule="auto"/>
              <w:ind w:left="579"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投标范围</w:t>
            </w:r>
          </w:p>
        </w:tc>
        <w:tc>
          <w:tcPr>
            <w:tcW w:w="5885" w:type="dxa"/>
            <w:vAlign w:val="top"/>
          </w:tcPr>
          <w:p w14:paraId="2A96FDAA">
            <w:pPr>
              <w:pStyle w:val="22"/>
              <w:pageBreakBefore w:val="0"/>
              <w:overflowPunct/>
              <w:bidi w:val="0"/>
              <w:spacing w:before="79" w:line="217" w:lineRule="auto"/>
              <w:ind w:left="11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符合本招标项目招标公告的要求</w:t>
            </w:r>
          </w:p>
        </w:tc>
      </w:tr>
      <w:tr w14:paraId="28C1A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tcBorders>
              <w:top w:val="nil"/>
              <w:bottom w:val="nil"/>
            </w:tcBorders>
            <w:vAlign w:val="top"/>
          </w:tcPr>
          <w:p w14:paraId="596D68C7">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tcBorders>
              <w:top w:val="nil"/>
              <w:bottom w:val="nil"/>
            </w:tcBorders>
            <w:vAlign w:val="top"/>
          </w:tcPr>
          <w:p w14:paraId="3D7A1565">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4A82C0A0">
            <w:pPr>
              <w:pStyle w:val="22"/>
              <w:pageBreakBefore w:val="0"/>
              <w:overflowPunct/>
              <w:bidi w:val="0"/>
              <w:spacing w:before="78" w:line="218" w:lineRule="auto"/>
              <w:ind w:left="682"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服务期</w:t>
            </w:r>
          </w:p>
        </w:tc>
        <w:tc>
          <w:tcPr>
            <w:tcW w:w="5885" w:type="dxa"/>
            <w:vAlign w:val="top"/>
          </w:tcPr>
          <w:p w14:paraId="38E306BF">
            <w:pPr>
              <w:pStyle w:val="22"/>
              <w:pageBreakBefore w:val="0"/>
              <w:overflowPunct/>
              <w:bidi w:val="0"/>
              <w:spacing w:before="78" w:line="218" w:lineRule="auto"/>
              <w:ind w:left="11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符合本招标项目招标公告的要求</w:t>
            </w:r>
          </w:p>
        </w:tc>
      </w:tr>
      <w:tr w14:paraId="00614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tcBorders>
              <w:top w:val="nil"/>
              <w:bottom w:val="nil"/>
            </w:tcBorders>
            <w:vAlign w:val="top"/>
          </w:tcPr>
          <w:p w14:paraId="7CF6186B">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tcBorders>
              <w:top w:val="nil"/>
              <w:bottom w:val="nil"/>
            </w:tcBorders>
            <w:vAlign w:val="top"/>
          </w:tcPr>
          <w:p w14:paraId="774B52B3">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3AC50355">
            <w:pPr>
              <w:pStyle w:val="22"/>
              <w:pageBreakBefore w:val="0"/>
              <w:overflowPunct/>
              <w:bidi w:val="0"/>
              <w:spacing w:before="79" w:line="217" w:lineRule="auto"/>
              <w:ind w:left="578"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质量要求</w:t>
            </w:r>
          </w:p>
        </w:tc>
        <w:tc>
          <w:tcPr>
            <w:tcW w:w="5885" w:type="dxa"/>
            <w:vAlign w:val="top"/>
          </w:tcPr>
          <w:p w14:paraId="0146D324">
            <w:pPr>
              <w:pStyle w:val="22"/>
              <w:pageBreakBefore w:val="0"/>
              <w:overflowPunct/>
              <w:bidi w:val="0"/>
              <w:spacing w:before="79" w:line="217" w:lineRule="auto"/>
              <w:ind w:left="11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符合本招标项目招标公告的要求</w:t>
            </w:r>
          </w:p>
        </w:tc>
      </w:tr>
      <w:tr w14:paraId="55BC9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tcBorders>
              <w:top w:val="nil"/>
              <w:bottom w:val="nil"/>
            </w:tcBorders>
            <w:vAlign w:val="top"/>
          </w:tcPr>
          <w:p w14:paraId="3177528A">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tcBorders>
              <w:top w:val="nil"/>
              <w:bottom w:val="nil"/>
            </w:tcBorders>
            <w:vAlign w:val="top"/>
          </w:tcPr>
          <w:p w14:paraId="652DC3C5">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29B2E5F1">
            <w:pPr>
              <w:pStyle w:val="22"/>
              <w:pageBreakBefore w:val="0"/>
              <w:overflowPunct/>
              <w:bidi w:val="0"/>
              <w:spacing w:before="78" w:line="218" w:lineRule="auto"/>
              <w:ind w:left="474"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投标有效期</w:t>
            </w:r>
          </w:p>
        </w:tc>
        <w:tc>
          <w:tcPr>
            <w:tcW w:w="5885" w:type="dxa"/>
            <w:vAlign w:val="top"/>
          </w:tcPr>
          <w:p w14:paraId="3837CB0E">
            <w:pPr>
              <w:pStyle w:val="22"/>
              <w:pageBreakBefore w:val="0"/>
              <w:overflowPunct/>
              <w:bidi w:val="0"/>
              <w:spacing w:before="78" w:line="218" w:lineRule="auto"/>
              <w:ind w:left="11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符合第三章“投标人须知</w:t>
            </w:r>
            <w:r>
              <w:rPr>
                <w:rFonts w:hint="eastAsia" w:asciiTheme="minorEastAsia" w:hAnsiTheme="minorEastAsia" w:eastAsiaTheme="minorEastAsia" w:cstheme="minorEastAsia"/>
                <w:color w:val="auto"/>
                <w:spacing w:val="-55"/>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”第</w:t>
            </w:r>
            <w:r>
              <w:rPr>
                <w:rFonts w:hint="eastAsia" w:asciiTheme="minorEastAsia" w:hAnsiTheme="minorEastAsia" w:eastAsiaTheme="minorEastAsia" w:cstheme="minorEastAsia"/>
                <w:color w:val="auto"/>
                <w:spacing w:val="-35"/>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3.4.1</w:t>
            </w:r>
            <w:r>
              <w:rPr>
                <w:rFonts w:hint="eastAsia" w:asciiTheme="minorEastAsia" w:hAnsiTheme="minorEastAsia" w:eastAsiaTheme="minorEastAsia" w:cstheme="minorEastAsia"/>
                <w:color w:val="auto"/>
                <w:spacing w:val="-37"/>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款规定</w:t>
            </w:r>
          </w:p>
        </w:tc>
      </w:tr>
      <w:tr w14:paraId="33003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tcBorders>
              <w:top w:val="nil"/>
              <w:bottom w:val="nil"/>
            </w:tcBorders>
            <w:vAlign w:val="top"/>
          </w:tcPr>
          <w:p w14:paraId="1362CB99">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tcBorders>
              <w:top w:val="nil"/>
              <w:bottom w:val="nil"/>
            </w:tcBorders>
            <w:vAlign w:val="top"/>
          </w:tcPr>
          <w:p w14:paraId="2F41D6D4">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14091953">
            <w:pPr>
              <w:pStyle w:val="22"/>
              <w:pageBreakBefore w:val="0"/>
              <w:overflowPunct/>
              <w:bidi w:val="0"/>
              <w:spacing w:before="79" w:line="217" w:lineRule="auto"/>
              <w:ind w:left="474"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投标保证金</w:t>
            </w:r>
          </w:p>
        </w:tc>
        <w:tc>
          <w:tcPr>
            <w:tcW w:w="5885" w:type="dxa"/>
            <w:vAlign w:val="top"/>
          </w:tcPr>
          <w:p w14:paraId="27696C2B">
            <w:pPr>
              <w:pStyle w:val="22"/>
              <w:pageBreakBefore w:val="0"/>
              <w:overflowPunct/>
              <w:bidi w:val="0"/>
              <w:spacing w:before="79" w:line="217" w:lineRule="auto"/>
              <w:ind w:left="11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符合第三章“投标人须知</w:t>
            </w:r>
            <w:r>
              <w:rPr>
                <w:rFonts w:hint="eastAsia" w:asciiTheme="minorEastAsia" w:hAnsiTheme="minorEastAsia" w:eastAsiaTheme="minorEastAsia" w:cstheme="minorEastAsia"/>
                <w:color w:val="auto"/>
                <w:spacing w:val="-73"/>
                <w:sz w:val="21"/>
                <w:szCs w:val="21"/>
                <w:highlight w:val="none"/>
              </w:rPr>
              <w:t xml:space="preserve"> </w:t>
            </w:r>
            <w:r>
              <w:rPr>
                <w:rFonts w:hint="eastAsia" w:asciiTheme="minorEastAsia" w:hAnsiTheme="minorEastAsia" w:eastAsiaTheme="minorEastAsia" w:cstheme="minorEastAsia"/>
                <w:color w:val="auto"/>
                <w:spacing w:val="6"/>
                <w:sz w:val="21"/>
                <w:szCs w:val="21"/>
                <w:highlight w:val="none"/>
              </w:rPr>
              <w:t>”第</w:t>
            </w:r>
            <w:r>
              <w:rPr>
                <w:rFonts w:hint="eastAsia" w:asciiTheme="minorEastAsia" w:hAnsiTheme="minorEastAsia" w:eastAsiaTheme="minorEastAsia" w:cstheme="minorEastAsia"/>
                <w:color w:val="auto"/>
                <w:spacing w:val="-35"/>
                <w:sz w:val="21"/>
                <w:szCs w:val="21"/>
                <w:highlight w:val="none"/>
              </w:rPr>
              <w:t xml:space="preserve"> </w:t>
            </w:r>
            <w:r>
              <w:rPr>
                <w:rFonts w:hint="eastAsia" w:asciiTheme="minorEastAsia" w:hAnsiTheme="minorEastAsia" w:eastAsiaTheme="minorEastAsia" w:cstheme="minorEastAsia"/>
                <w:color w:val="auto"/>
                <w:spacing w:val="6"/>
                <w:sz w:val="21"/>
                <w:szCs w:val="21"/>
                <w:highlight w:val="none"/>
              </w:rPr>
              <w:t>3.5</w:t>
            </w:r>
            <w:r>
              <w:rPr>
                <w:rFonts w:hint="eastAsia" w:asciiTheme="minorEastAsia" w:hAnsiTheme="minorEastAsia" w:eastAsiaTheme="minorEastAsia" w:cstheme="minorEastAsia"/>
                <w:color w:val="auto"/>
                <w:spacing w:val="-40"/>
                <w:sz w:val="21"/>
                <w:szCs w:val="21"/>
                <w:highlight w:val="none"/>
              </w:rPr>
              <w:t xml:space="preserve"> </w:t>
            </w:r>
            <w:r>
              <w:rPr>
                <w:rFonts w:hint="eastAsia" w:asciiTheme="minorEastAsia" w:hAnsiTheme="minorEastAsia" w:eastAsiaTheme="minorEastAsia" w:cstheme="minorEastAsia"/>
                <w:color w:val="auto"/>
                <w:spacing w:val="6"/>
                <w:sz w:val="21"/>
                <w:szCs w:val="21"/>
                <w:highlight w:val="none"/>
              </w:rPr>
              <w:t>款规定</w:t>
            </w:r>
          </w:p>
        </w:tc>
      </w:tr>
      <w:tr w14:paraId="716AC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tcBorders>
              <w:top w:val="nil"/>
              <w:bottom w:val="nil"/>
            </w:tcBorders>
            <w:vAlign w:val="top"/>
          </w:tcPr>
          <w:p w14:paraId="2073FA73">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tcBorders>
              <w:top w:val="nil"/>
              <w:bottom w:val="nil"/>
            </w:tcBorders>
            <w:vAlign w:val="top"/>
          </w:tcPr>
          <w:p w14:paraId="595996C5">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7D191741">
            <w:pPr>
              <w:pStyle w:val="22"/>
              <w:pageBreakBefore w:val="0"/>
              <w:overflowPunct/>
              <w:bidi w:val="0"/>
              <w:spacing w:before="78" w:line="218" w:lineRule="auto"/>
              <w:ind w:left="579"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投标价格</w:t>
            </w:r>
          </w:p>
        </w:tc>
        <w:tc>
          <w:tcPr>
            <w:tcW w:w="5885" w:type="dxa"/>
            <w:vAlign w:val="top"/>
          </w:tcPr>
          <w:p w14:paraId="033CCC49">
            <w:pPr>
              <w:pStyle w:val="22"/>
              <w:pageBreakBefore w:val="0"/>
              <w:overflowPunct/>
              <w:bidi w:val="0"/>
              <w:spacing w:before="78" w:line="218" w:lineRule="auto"/>
              <w:ind w:left="11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符合第三章“投标人须知</w:t>
            </w:r>
            <w:r>
              <w:rPr>
                <w:rFonts w:hint="eastAsia" w:asciiTheme="minorEastAsia" w:hAnsiTheme="minorEastAsia" w:eastAsiaTheme="minorEastAsia" w:cstheme="minorEastAsia"/>
                <w:color w:val="auto"/>
                <w:spacing w:val="-73"/>
                <w:sz w:val="21"/>
                <w:szCs w:val="21"/>
                <w:highlight w:val="none"/>
              </w:rPr>
              <w:t xml:space="preserve"> </w:t>
            </w:r>
            <w:r>
              <w:rPr>
                <w:rFonts w:hint="eastAsia" w:asciiTheme="minorEastAsia" w:hAnsiTheme="minorEastAsia" w:eastAsiaTheme="minorEastAsia" w:cstheme="minorEastAsia"/>
                <w:color w:val="auto"/>
                <w:spacing w:val="6"/>
                <w:sz w:val="21"/>
                <w:szCs w:val="21"/>
                <w:highlight w:val="none"/>
              </w:rPr>
              <w:t>”第</w:t>
            </w:r>
            <w:r>
              <w:rPr>
                <w:rFonts w:hint="eastAsia" w:asciiTheme="minorEastAsia" w:hAnsiTheme="minorEastAsia" w:eastAsiaTheme="minorEastAsia" w:cstheme="minorEastAsia"/>
                <w:color w:val="auto"/>
                <w:spacing w:val="-35"/>
                <w:sz w:val="21"/>
                <w:szCs w:val="21"/>
                <w:highlight w:val="none"/>
              </w:rPr>
              <w:t xml:space="preserve"> </w:t>
            </w:r>
            <w:r>
              <w:rPr>
                <w:rFonts w:hint="eastAsia" w:asciiTheme="minorEastAsia" w:hAnsiTheme="minorEastAsia" w:eastAsiaTheme="minorEastAsia" w:cstheme="minorEastAsia"/>
                <w:color w:val="auto"/>
                <w:spacing w:val="6"/>
                <w:sz w:val="21"/>
                <w:szCs w:val="21"/>
                <w:highlight w:val="none"/>
              </w:rPr>
              <w:t>3.2</w:t>
            </w:r>
            <w:r>
              <w:rPr>
                <w:rFonts w:hint="eastAsia" w:asciiTheme="minorEastAsia" w:hAnsiTheme="minorEastAsia" w:eastAsiaTheme="minorEastAsia" w:cstheme="minorEastAsia"/>
                <w:color w:val="auto"/>
                <w:spacing w:val="-40"/>
                <w:sz w:val="21"/>
                <w:szCs w:val="21"/>
                <w:highlight w:val="none"/>
              </w:rPr>
              <w:t xml:space="preserve"> </w:t>
            </w:r>
            <w:r>
              <w:rPr>
                <w:rFonts w:hint="eastAsia" w:asciiTheme="minorEastAsia" w:hAnsiTheme="minorEastAsia" w:eastAsiaTheme="minorEastAsia" w:cstheme="minorEastAsia"/>
                <w:color w:val="auto"/>
                <w:spacing w:val="6"/>
                <w:sz w:val="21"/>
                <w:szCs w:val="21"/>
                <w:highlight w:val="none"/>
              </w:rPr>
              <w:t>款规定</w:t>
            </w:r>
          </w:p>
        </w:tc>
      </w:tr>
      <w:tr w14:paraId="3DB78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28" w:type="dxa"/>
            <w:vMerge w:val="continue"/>
            <w:tcBorders>
              <w:top w:val="nil"/>
            </w:tcBorders>
            <w:vAlign w:val="top"/>
          </w:tcPr>
          <w:p w14:paraId="6BCB9291">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027" w:type="dxa"/>
            <w:vMerge w:val="continue"/>
            <w:tcBorders>
              <w:top w:val="nil"/>
            </w:tcBorders>
            <w:vAlign w:val="top"/>
          </w:tcPr>
          <w:p w14:paraId="736D470A">
            <w:pPr>
              <w:pageBreakBefore w:val="0"/>
              <w:overflowPunct/>
              <w:bidi w:val="0"/>
              <w:ind w:right="0"/>
              <w:rPr>
                <w:rFonts w:hint="eastAsia" w:asciiTheme="minorEastAsia" w:hAnsiTheme="minorEastAsia" w:eastAsiaTheme="minorEastAsia" w:cstheme="minorEastAsia"/>
                <w:color w:val="auto"/>
                <w:sz w:val="21"/>
                <w:szCs w:val="21"/>
                <w:highlight w:val="none"/>
              </w:rPr>
            </w:pPr>
          </w:p>
        </w:tc>
        <w:tc>
          <w:tcPr>
            <w:tcW w:w="1834" w:type="dxa"/>
            <w:vAlign w:val="top"/>
          </w:tcPr>
          <w:p w14:paraId="7ED08ADE">
            <w:pPr>
              <w:pStyle w:val="22"/>
              <w:pageBreakBefore w:val="0"/>
              <w:overflowPunct/>
              <w:bidi w:val="0"/>
              <w:spacing w:before="80" w:line="256" w:lineRule="auto"/>
              <w:ind w:left="596" w:right="0" w:hanging="433"/>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否决性条款集中载</w:t>
            </w:r>
            <w:r>
              <w:rPr>
                <w:rFonts w:hint="eastAsia" w:asciiTheme="minorEastAsia" w:hAnsiTheme="minorEastAsia" w:eastAsiaTheme="minorEastAsia" w:cstheme="minorEastAsia"/>
                <w:color w:val="auto"/>
                <w:spacing w:val="2"/>
                <w:sz w:val="21"/>
                <w:szCs w:val="21"/>
                <w:highlight w:val="none"/>
              </w:rPr>
              <w:t>明的情形</w:t>
            </w:r>
          </w:p>
        </w:tc>
        <w:tc>
          <w:tcPr>
            <w:tcW w:w="5885" w:type="dxa"/>
            <w:vAlign w:val="top"/>
          </w:tcPr>
          <w:p w14:paraId="1785A435">
            <w:pPr>
              <w:pStyle w:val="22"/>
              <w:pageBreakBefore w:val="0"/>
              <w:overflowPunct/>
              <w:bidi w:val="0"/>
              <w:spacing w:before="237" w:line="228" w:lineRule="auto"/>
              <w:ind w:left="118"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不存在否决性条款集中载明的情形规定</w:t>
            </w:r>
          </w:p>
        </w:tc>
      </w:tr>
      <w:tr w14:paraId="6FCB5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855" w:type="dxa"/>
            <w:gridSpan w:val="2"/>
            <w:shd w:val="clear" w:color="auto" w:fill="E6E6E6"/>
            <w:vAlign w:val="top"/>
          </w:tcPr>
          <w:p w14:paraId="224E1ABC">
            <w:pPr>
              <w:pStyle w:val="22"/>
              <w:pageBreakBefore w:val="0"/>
              <w:overflowPunct/>
              <w:bidi w:val="0"/>
              <w:spacing w:before="77" w:line="219" w:lineRule="auto"/>
              <w:ind w:left="619"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5"/>
                <w:sz w:val="21"/>
                <w:szCs w:val="21"/>
                <w:highlight w:val="none"/>
              </w:rPr>
              <w:t>条款号</w:t>
            </w:r>
          </w:p>
        </w:tc>
        <w:tc>
          <w:tcPr>
            <w:tcW w:w="1834" w:type="dxa"/>
            <w:shd w:val="clear" w:color="auto" w:fill="E6E6E6"/>
            <w:vAlign w:val="top"/>
          </w:tcPr>
          <w:p w14:paraId="0B3382AB">
            <w:pPr>
              <w:pStyle w:val="22"/>
              <w:pageBreakBefore w:val="0"/>
              <w:overflowPunct/>
              <w:bidi w:val="0"/>
              <w:spacing w:before="77" w:line="219" w:lineRule="auto"/>
              <w:ind w:left="576"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6"/>
                <w:sz w:val="21"/>
                <w:szCs w:val="21"/>
                <w:highlight w:val="none"/>
              </w:rPr>
              <w:t>条款内容</w:t>
            </w:r>
          </w:p>
        </w:tc>
        <w:tc>
          <w:tcPr>
            <w:tcW w:w="5885" w:type="dxa"/>
            <w:shd w:val="clear" w:color="auto" w:fill="E6E6E6"/>
            <w:vAlign w:val="top"/>
          </w:tcPr>
          <w:p w14:paraId="17648E9E">
            <w:pPr>
              <w:pStyle w:val="22"/>
              <w:pageBreakBefore w:val="0"/>
              <w:overflowPunct/>
              <w:bidi w:val="0"/>
              <w:spacing w:before="77" w:line="219" w:lineRule="auto"/>
              <w:ind w:left="2451"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6"/>
                <w:sz w:val="21"/>
                <w:szCs w:val="21"/>
                <w:highlight w:val="none"/>
              </w:rPr>
              <w:t>编列内容</w:t>
            </w:r>
          </w:p>
        </w:tc>
      </w:tr>
      <w:tr w14:paraId="4953A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855" w:type="dxa"/>
            <w:gridSpan w:val="2"/>
            <w:vAlign w:val="top"/>
          </w:tcPr>
          <w:p w14:paraId="3EFE3ED1">
            <w:pPr>
              <w:pStyle w:val="22"/>
              <w:pageBreakBefore w:val="0"/>
              <w:overflowPunct/>
              <w:bidi w:val="0"/>
              <w:spacing w:before="239" w:line="268" w:lineRule="exact"/>
              <w:ind w:left="673"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position w:val="1"/>
                <w:sz w:val="21"/>
                <w:szCs w:val="21"/>
                <w:highlight w:val="none"/>
              </w:rPr>
              <w:t>2.2.1</w:t>
            </w:r>
          </w:p>
        </w:tc>
        <w:tc>
          <w:tcPr>
            <w:tcW w:w="1834" w:type="dxa"/>
            <w:vAlign w:val="top"/>
          </w:tcPr>
          <w:p w14:paraId="0E2103E8">
            <w:pPr>
              <w:pStyle w:val="22"/>
              <w:pageBreakBefore w:val="0"/>
              <w:overflowPunct/>
              <w:bidi w:val="0"/>
              <w:spacing w:before="239" w:line="228" w:lineRule="auto"/>
              <w:ind w:left="579"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6"/>
                <w:sz w:val="21"/>
                <w:szCs w:val="21"/>
                <w:highlight w:val="none"/>
              </w:rPr>
              <w:t>分值构成</w:t>
            </w:r>
          </w:p>
        </w:tc>
        <w:tc>
          <w:tcPr>
            <w:tcW w:w="5885" w:type="dxa"/>
            <w:vAlign w:val="top"/>
          </w:tcPr>
          <w:p w14:paraId="31F44903">
            <w:pPr>
              <w:pStyle w:val="22"/>
              <w:pageBreakBefore w:val="0"/>
              <w:overflowPunct/>
              <w:bidi w:val="0"/>
              <w:spacing w:before="79" w:line="228" w:lineRule="auto"/>
              <w:ind w:left="120" w:right="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总分：</w:t>
            </w:r>
            <w:r>
              <w:rPr>
                <w:rFonts w:hint="eastAsia" w:asciiTheme="minorEastAsia" w:hAnsiTheme="minorEastAsia" w:eastAsiaTheme="minorEastAsia" w:cstheme="minorEastAsia"/>
                <w:color w:val="auto"/>
                <w:spacing w:val="33"/>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u w:val="single" w:color="auto"/>
              </w:rPr>
              <w:t>100</w:t>
            </w:r>
            <w:r>
              <w:rPr>
                <w:rFonts w:hint="eastAsia" w:asciiTheme="minorEastAsia" w:hAnsiTheme="minorEastAsia" w:eastAsiaTheme="minorEastAsia" w:cstheme="minorEastAsia"/>
                <w:color w:val="auto"/>
                <w:spacing w:val="15"/>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rPr>
              <w:t>分。</w:t>
            </w:r>
          </w:p>
          <w:p w14:paraId="152319F5">
            <w:pPr>
              <w:pStyle w:val="22"/>
              <w:pageBreakBefore w:val="0"/>
              <w:overflowPunct/>
              <w:bidi w:val="0"/>
              <w:spacing w:before="71" w:line="219" w:lineRule="auto"/>
              <w:ind w:right="0"/>
              <w:jc w:val="left"/>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其中：经济标：</w:t>
            </w:r>
            <w:r>
              <w:rPr>
                <w:rFonts w:hint="eastAsia" w:asciiTheme="minorEastAsia" w:hAnsiTheme="minorEastAsia" w:eastAsiaTheme="minorEastAsia" w:cstheme="minorEastAsia"/>
                <w:color w:val="auto"/>
                <w:spacing w:val="5"/>
                <w:sz w:val="21"/>
                <w:szCs w:val="21"/>
                <w:highlight w:val="none"/>
                <w:u w:val="single" w:color="auto"/>
                <w:lang w:val="en-US" w:eastAsia="zh-CN"/>
              </w:rPr>
              <w:t>100</w:t>
            </w:r>
            <w:r>
              <w:rPr>
                <w:rFonts w:hint="eastAsia" w:asciiTheme="minorEastAsia" w:hAnsiTheme="minorEastAsia" w:eastAsiaTheme="minorEastAsia" w:cstheme="minorEastAsia"/>
                <w:color w:val="auto"/>
                <w:spacing w:val="5"/>
                <w:sz w:val="21"/>
                <w:szCs w:val="21"/>
                <w:highlight w:val="none"/>
              </w:rPr>
              <w:t>分</w:t>
            </w:r>
            <w:r>
              <w:rPr>
                <w:rFonts w:hint="eastAsia" w:asciiTheme="minorEastAsia" w:hAnsiTheme="minorEastAsia" w:eastAsiaTheme="minorEastAsia" w:cstheme="minorEastAsia"/>
                <w:color w:val="auto"/>
                <w:spacing w:val="5"/>
                <w:sz w:val="21"/>
                <w:szCs w:val="21"/>
                <w:highlight w:val="none"/>
                <w:lang w:eastAsia="zh-CN"/>
              </w:rPr>
              <w:t>。</w:t>
            </w:r>
          </w:p>
        </w:tc>
      </w:tr>
      <w:tr w14:paraId="31E1A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855" w:type="dxa"/>
            <w:gridSpan w:val="2"/>
            <w:vAlign w:val="top"/>
          </w:tcPr>
          <w:p w14:paraId="1FF957A8">
            <w:pPr>
              <w:pageBreakBefore w:val="0"/>
              <w:overflowPunct/>
              <w:bidi w:val="0"/>
              <w:spacing w:line="266" w:lineRule="auto"/>
              <w:ind w:right="0"/>
              <w:rPr>
                <w:rFonts w:hint="eastAsia" w:asciiTheme="minorEastAsia" w:hAnsiTheme="minorEastAsia" w:eastAsiaTheme="minorEastAsia" w:cstheme="minorEastAsia"/>
                <w:color w:val="auto"/>
                <w:sz w:val="21"/>
                <w:szCs w:val="21"/>
                <w:highlight w:val="none"/>
              </w:rPr>
            </w:pPr>
          </w:p>
          <w:p w14:paraId="04FAA5D4">
            <w:pPr>
              <w:pageBreakBefore w:val="0"/>
              <w:overflowPunct/>
              <w:bidi w:val="0"/>
              <w:spacing w:line="266" w:lineRule="auto"/>
              <w:ind w:right="0"/>
              <w:rPr>
                <w:rFonts w:hint="eastAsia" w:asciiTheme="minorEastAsia" w:hAnsiTheme="minorEastAsia" w:eastAsiaTheme="minorEastAsia" w:cstheme="minorEastAsia"/>
                <w:color w:val="auto"/>
                <w:sz w:val="21"/>
                <w:szCs w:val="21"/>
                <w:highlight w:val="none"/>
              </w:rPr>
            </w:pPr>
          </w:p>
          <w:p w14:paraId="60D65049">
            <w:pPr>
              <w:pageBreakBefore w:val="0"/>
              <w:overflowPunct/>
              <w:bidi w:val="0"/>
              <w:spacing w:line="267" w:lineRule="auto"/>
              <w:ind w:right="0"/>
              <w:rPr>
                <w:rFonts w:hint="eastAsia" w:asciiTheme="minorEastAsia" w:hAnsiTheme="minorEastAsia" w:eastAsiaTheme="minorEastAsia" w:cstheme="minorEastAsia"/>
                <w:color w:val="auto"/>
                <w:sz w:val="21"/>
                <w:szCs w:val="21"/>
                <w:highlight w:val="none"/>
              </w:rPr>
            </w:pPr>
          </w:p>
          <w:p w14:paraId="4B9E3D28">
            <w:pPr>
              <w:pStyle w:val="22"/>
              <w:pageBreakBefore w:val="0"/>
              <w:overflowPunct/>
              <w:bidi w:val="0"/>
              <w:spacing w:before="65" w:line="267" w:lineRule="exact"/>
              <w:ind w:left="673"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position w:val="1"/>
                <w:sz w:val="21"/>
                <w:szCs w:val="21"/>
                <w:highlight w:val="none"/>
              </w:rPr>
              <w:t>2.2.2</w:t>
            </w:r>
          </w:p>
        </w:tc>
        <w:tc>
          <w:tcPr>
            <w:tcW w:w="1834" w:type="dxa"/>
            <w:vAlign w:val="top"/>
          </w:tcPr>
          <w:p w14:paraId="3F5E9795">
            <w:pPr>
              <w:pageBreakBefore w:val="0"/>
              <w:overflowPunct/>
              <w:bidi w:val="0"/>
              <w:spacing w:line="249" w:lineRule="auto"/>
              <w:ind w:right="0"/>
              <w:rPr>
                <w:rFonts w:hint="eastAsia" w:asciiTheme="minorEastAsia" w:hAnsiTheme="minorEastAsia" w:eastAsiaTheme="minorEastAsia" w:cstheme="minorEastAsia"/>
                <w:color w:val="auto"/>
                <w:sz w:val="21"/>
                <w:szCs w:val="21"/>
                <w:highlight w:val="none"/>
              </w:rPr>
            </w:pPr>
          </w:p>
          <w:p w14:paraId="6BAA2D6D">
            <w:pPr>
              <w:pageBreakBefore w:val="0"/>
              <w:overflowPunct/>
              <w:bidi w:val="0"/>
              <w:spacing w:line="249" w:lineRule="auto"/>
              <w:ind w:right="0"/>
              <w:rPr>
                <w:rFonts w:hint="eastAsia" w:asciiTheme="minorEastAsia" w:hAnsiTheme="minorEastAsia" w:eastAsiaTheme="minorEastAsia" w:cstheme="minorEastAsia"/>
                <w:color w:val="auto"/>
                <w:sz w:val="21"/>
                <w:szCs w:val="21"/>
                <w:highlight w:val="none"/>
              </w:rPr>
            </w:pPr>
          </w:p>
          <w:p w14:paraId="05BF0491">
            <w:pPr>
              <w:pageBreakBefore w:val="0"/>
              <w:overflowPunct/>
              <w:bidi w:val="0"/>
              <w:spacing w:line="249" w:lineRule="auto"/>
              <w:ind w:right="0"/>
              <w:rPr>
                <w:rFonts w:hint="eastAsia" w:asciiTheme="minorEastAsia" w:hAnsiTheme="minorEastAsia" w:eastAsiaTheme="minorEastAsia" w:cstheme="minorEastAsia"/>
                <w:color w:val="auto"/>
                <w:sz w:val="21"/>
                <w:szCs w:val="21"/>
                <w:highlight w:val="none"/>
              </w:rPr>
            </w:pPr>
          </w:p>
          <w:p w14:paraId="0189104A">
            <w:pPr>
              <w:pStyle w:val="22"/>
              <w:pageBreakBefore w:val="0"/>
              <w:overflowPunct/>
              <w:bidi w:val="0"/>
              <w:spacing w:before="65" w:line="296" w:lineRule="auto"/>
              <w:ind w:left="576" w:right="0" w:hanging="466"/>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评标基准价（Q</w:t>
            </w:r>
            <w:r>
              <w:rPr>
                <w:rFonts w:hint="eastAsia" w:asciiTheme="minorEastAsia" w:hAnsiTheme="minorEastAsia" w:eastAsiaTheme="minorEastAsia" w:cstheme="minorEastAsia"/>
                <w:color w:val="auto"/>
                <w:spacing w:val="-36"/>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值）</w:t>
            </w:r>
            <w:r>
              <w:rPr>
                <w:rFonts w:hint="eastAsia" w:asciiTheme="minorEastAsia" w:hAnsiTheme="minorEastAsia" w:eastAsiaTheme="minorEastAsia" w:cstheme="minorEastAsia"/>
                <w:color w:val="auto"/>
                <w:spacing w:val="7"/>
                <w:sz w:val="21"/>
                <w:szCs w:val="21"/>
                <w:highlight w:val="none"/>
              </w:rPr>
              <w:t>计算方法</w:t>
            </w:r>
          </w:p>
        </w:tc>
        <w:tc>
          <w:tcPr>
            <w:tcW w:w="5885" w:type="dxa"/>
            <w:vAlign w:val="top"/>
          </w:tcPr>
          <w:p w14:paraId="2A928265">
            <w:pPr>
              <w:pStyle w:val="22"/>
              <w:pageBreakBefore w:val="0"/>
              <w:overflowPunct/>
              <w:bidi w:val="0"/>
              <w:spacing w:before="79" w:line="226" w:lineRule="auto"/>
              <w:ind w:left="13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lang w:val="en-US" w:eastAsia="zh-CN"/>
              </w:rPr>
              <w:t>1.</w:t>
            </w:r>
            <w:r>
              <w:rPr>
                <w:rFonts w:hint="eastAsia" w:asciiTheme="minorEastAsia" w:hAnsiTheme="minorEastAsia" w:eastAsiaTheme="minorEastAsia" w:cstheme="minorEastAsia"/>
                <w:color w:val="auto"/>
                <w:spacing w:val="8"/>
                <w:sz w:val="21"/>
                <w:szCs w:val="21"/>
                <w:highlight w:val="none"/>
              </w:rPr>
              <w:t>以合理平均值作为评标基准价的计算方法</w:t>
            </w:r>
            <w:r>
              <w:rPr>
                <w:rFonts w:hint="eastAsia" w:asciiTheme="minorEastAsia" w:hAnsiTheme="minorEastAsia" w:eastAsiaTheme="minorEastAsia" w:cstheme="minorEastAsia"/>
                <w:color w:val="auto"/>
                <w:spacing w:val="7"/>
                <w:sz w:val="21"/>
                <w:szCs w:val="21"/>
                <w:highlight w:val="none"/>
              </w:rPr>
              <w:t>如下：</w:t>
            </w:r>
          </w:p>
          <w:p w14:paraId="2FCD3B35">
            <w:pPr>
              <w:pStyle w:val="22"/>
              <w:pageBreakBefore w:val="0"/>
              <w:overflowPunct/>
              <w:bidi w:val="0"/>
              <w:spacing w:before="75" w:line="295" w:lineRule="auto"/>
              <w:ind w:left="114"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rPr>
              <w:t>合理平均值=招标控制价×（1-下浮率k</w:t>
            </w:r>
            <w:r>
              <w:rPr>
                <w:rFonts w:hint="eastAsia" w:asciiTheme="minorEastAsia" w:hAnsiTheme="minorEastAsia" w:eastAsiaTheme="minorEastAsia" w:cstheme="minorEastAsia"/>
                <w:color w:val="auto"/>
                <w:spacing w:val="15"/>
                <w:sz w:val="21"/>
                <w:szCs w:val="21"/>
                <w:highlight w:val="none"/>
              </w:rPr>
              <w:t>），</w:t>
            </w:r>
            <w:r>
              <w:rPr>
                <w:rFonts w:hint="eastAsia" w:asciiTheme="minorEastAsia" w:hAnsiTheme="minorEastAsia" w:eastAsiaTheme="minorEastAsia" w:cstheme="minorEastAsia"/>
                <w:color w:val="auto"/>
                <w:spacing w:val="9"/>
                <w:sz w:val="21"/>
                <w:szCs w:val="21"/>
                <w:highlight w:val="none"/>
              </w:rPr>
              <w:t>从</w:t>
            </w:r>
            <w:r>
              <w:rPr>
                <w:rFonts w:hint="eastAsia" w:asciiTheme="minorEastAsia" w:hAnsiTheme="minorEastAsia" w:eastAsiaTheme="minorEastAsia" w:cstheme="minorEastAsia"/>
                <w:color w:val="auto"/>
                <w:spacing w:val="9"/>
                <w:sz w:val="21"/>
                <w:szCs w:val="21"/>
                <w:highlight w:val="none"/>
                <w:u w:val="single" w:color="auto"/>
              </w:rPr>
              <w:t xml:space="preserve"> 5 </w:t>
            </w:r>
            <w:r>
              <w:rPr>
                <w:rFonts w:hint="eastAsia" w:asciiTheme="minorEastAsia" w:hAnsiTheme="minorEastAsia" w:eastAsiaTheme="minorEastAsia" w:cstheme="minorEastAsia"/>
                <w:color w:val="auto"/>
                <w:spacing w:val="8"/>
                <w:sz w:val="21"/>
                <w:szCs w:val="21"/>
                <w:highlight w:val="none"/>
              </w:rPr>
              <w:t>%～</w:t>
            </w:r>
            <w:r>
              <w:rPr>
                <w:rFonts w:hint="eastAsia" w:asciiTheme="minorEastAsia" w:hAnsiTheme="minorEastAsia" w:eastAsiaTheme="minorEastAsia" w:cstheme="minorEastAsia"/>
                <w:color w:val="auto"/>
                <w:spacing w:val="8"/>
                <w:sz w:val="21"/>
                <w:szCs w:val="21"/>
                <w:highlight w:val="none"/>
                <w:u w:val="single" w:color="auto"/>
              </w:rPr>
              <w:t xml:space="preserve"> 10</w:t>
            </w:r>
            <w:r>
              <w:rPr>
                <w:rFonts w:hint="eastAsia" w:asciiTheme="minorEastAsia" w:hAnsiTheme="minorEastAsia" w:eastAsiaTheme="minorEastAsia" w:cstheme="minorEastAsia"/>
                <w:color w:val="auto"/>
                <w:spacing w:val="11"/>
                <w:sz w:val="21"/>
                <w:szCs w:val="21"/>
                <w:highlight w:val="none"/>
                <w:u w:val="single" w:color="auto"/>
              </w:rPr>
              <w:t xml:space="preserve"> </w:t>
            </w:r>
            <w:r>
              <w:rPr>
                <w:rFonts w:hint="eastAsia" w:asciiTheme="minorEastAsia" w:hAnsiTheme="minorEastAsia" w:eastAsiaTheme="minorEastAsia" w:cstheme="minorEastAsia"/>
                <w:color w:val="auto"/>
                <w:spacing w:val="8"/>
                <w:sz w:val="21"/>
                <w:szCs w:val="21"/>
                <w:highlight w:val="none"/>
              </w:rPr>
              <w:t>%</w:t>
            </w:r>
            <w:r>
              <w:rPr>
                <w:rFonts w:hint="eastAsia" w:asciiTheme="minorEastAsia" w:hAnsiTheme="minorEastAsia" w:eastAsiaTheme="minorEastAsia" w:cstheme="minorEastAsia"/>
                <w:color w:val="auto"/>
                <w:spacing w:val="10"/>
                <w:sz w:val="21"/>
                <w:szCs w:val="21"/>
                <w:highlight w:val="none"/>
              </w:rPr>
              <w:t>中以0.2%为一档等差增序排号，一次性</w:t>
            </w:r>
            <w:r>
              <w:rPr>
                <w:rFonts w:hint="eastAsia" w:asciiTheme="minorEastAsia" w:hAnsiTheme="minorEastAsia" w:eastAsiaTheme="minorEastAsia" w:cstheme="minorEastAsia"/>
                <w:color w:val="auto"/>
                <w:spacing w:val="9"/>
                <w:sz w:val="21"/>
                <w:szCs w:val="21"/>
                <w:highlight w:val="none"/>
              </w:rPr>
              <w:t>随机抽取</w:t>
            </w:r>
            <w:r>
              <w:rPr>
                <w:rFonts w:hint="eastAsia" w:asciiTheme="minorEastAsia" w:hAnsiTheme="minorEastAsia" w:eastAsiaTheme="minorEastAsia" w:cstheme="minorEastAsia"/>
                <w:color w:val="auto"/>
                <w:spacing w:val="-32"/>
                <w:sz w:val="21"/>
                <w:szCs w:val="21"/>
                <w:highlight w:val="none"/>
              </w:rPr>
              <w:t xml:space="preserve"> </w:t>
            </w:r>
            <w:r>
              <w:rPr>
                <w:rFonts w:hint="eastAsia" w:asciiTheme="minorEastAsia" w:hAnsiTheme="minorEastAsia" w:eastAsiaTheme="minorEastAsia" w:cstheme="minorEastAsia"/>
                <w:color w:val="auto"/>
                <w:spacing w:val="9"/>
                <w:sz w:val="21"/>
                <w:szCs w:val="21"/>
                <w:highlight w:val="none"/>
              </w:rPr>
              <w:t>3</w:t>
            </w:r>
            <w:r>
              <w:rPr>
                <w:rFonts w:hint="eastAsia" w:asciiTheme="minorEastAsia" w:hAnsiTheme="minorEastAsia" w:eastAsiaTheme="minorEastAsia" w:cstheme="minorEastAsia"/>
                <w:color w:val="auto"/>
                <w:spacing w:val="-40"/>
                <w:sz w:val="21"/>
                <w:szCs w:val="21"/>
                <w:highlight w:val="none"/>
              </w:rPr>
              <w:t xml:space="preserve"> </w:t>
            </w:r>
            <w:r>
              <w:rPr>
                <w:rFonts w:hint="eastAsia" w:asciiTheme="minorEastAsia" w:hAnsiTheme="minorEastAsia" w:eastAsiaTheme="minorEastAsia" w:cstheme="minorEastAsia"/>
                <w:color w:val="auto"/>
                <w:spacing w:val="9"/>
                <w:sz w:val="21"/>
                <w:szCs w:val="21"/>
                <w:highlight w:val="none"/>
              </w:rPr>
              <w:t>个不同数</w:t>
            </w:r>
            <w:r>
              <w:rPr>
                <w:rFonts w:hint="eastAsia" w:asciiTheme="minorEastAsia" w:hAnsiTheme="minorEastAsia" w:eastAsiaTheme="minorEastAsia" w:cstheme="minorEastAsia"/>
                <w:color w:val="auto"/>
                <w:spacing w:val="10"/>
                <w:sz w:val="21"/>
                <w:szCs w:val="21"/>
                <w:highlight w:val="none"/>
              </w:rPr>
              <w:t>值，3</w:t>
            </w:r>
            <w:r>
              <w:rPr>
                <w:rFonts w:hint="eastAsia" w:asciiTheme="minorEastAsia" w:hAnsiTheme="minorEastAsia" w:eastAsiaTheme="minorEastAsia" w:cstheme="minorEastAsia"/>
                <w:color w:val="auto"/>
                <w:spacing w:val="-26"/>
                <w:sz w:val="21"/>
                <w:szCs w:val="21"/>
                <w:highlight w:val="none"/>
              </w:rPr>
              <w:t xml:space="preserve"> </w:t>
            </w:r>
            <w:r>
              <w:rPr>
                <w:rFonts w:hint="eastAsia" w:asciiTheme="minorEastAsia" w:hAnsiTheme="minorEastAsia" w:eastAsiaTheme="minorEastAsia" w:cstheme="minorEastAsia"/>
                <w:color w:val="auto"/>
                <w:spacing w:val="10"/>
                <w:sz w:val="21"/>
                <w:szCs w:val="21"/>
                <w:highlight w:val="none"/>
              </w:rPr>
              <w:t>个数值的平均值即为下浮率k。</w:t>
            </w:r>
          </w:p>
          <w:p w14:paraId="58B6AE12">
            <w:pPr>
              <w:pStyle w:val="22"/>
              <w:pageBreakBefore w:val="0"/>
              <w:overflowPunct/>
              <w:bidi w:val="0"/>
              <w:spacing w:line="295" w:lineRule="auto"/>
              <w:ind w:left="114"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lang w:val="en-US" w:eastAsia="zh-CN"/>
              </w:rPr>
              <w:t>2</w:t>
            </w:r>
            <w:r>
              <w:rPr>
                <w:rFonts w:hint="eastAsia" w:asciiTheme="minorEastAsia" w:hAnsiTheme="minorEastAsia" w:eastAsiaTheme="minorEastAsia" w:cstheme="minorEastAsia"/>
                <w:color w:val="auto"/>
                <w:spacing w:val="9"/>
                <w:sz w:val="21"/>
                <w:szCs w:val="21"/>
                <w:highlight w:val="none"/>
              </w:rPr>
              <w:t>.除计算错误外，评标基准价不因招标投标当事人异议、投</w:t>
            </w:r>
            <w:r>
              <w:rPr>
                <w:rFonts w:hint="eastAsia" w:asciiTheme="minorEastAsia" w:hAnsiTheme="minorEastAsia" w:eastAsiaTheme="minorEastAsia" w:cstheme="minorEastAsia"/>
                <w:color w:val="auto"/>
                <w:spacing w:val="8"/>
                <w:sz w:val="21"/>
                <w:szCs w:val="21"/>
                <w:highlight w:val="none"/>
              </w:rPr>
              <w:t>诉、复核以及其他任何情形而改变。</w:t>
            </w:r>
          </w:p>
          <w:p w14:paraId="14898643">
            <w:pPr>
              <w:pStyle w:val="22"/>
              <w:pageBreakBefore w:val="0"/>
              <w:overflowPunct/>
              <w:bidi w:val="0"/>
              <w:spacing w:line="256" w:lineRule="auto"/>
              <w:ind w:left="114"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3"/>
                <w:sz w:val="21"/>
                <w:szCs w:val="21"/>
                <w:highlight w:val="none"/>
              </w:rPr>
              <w:t>注：下浮率k</w:t>
            </w:r>
            <w:r>
              <w:rPr>
                <w:rFonts w:hint="eastAsia" w:asciiTheme="minorEastAsia" w:hAnsiTheme="minorEastAsia" w:eastAsiaTheme="minorEastAsia" w:cstheme="minorEastAsia"/>
                <w:color w:val="auto"/>
                <w:spacing w:val="-21"/>
                <w:sz w:val="21"/>
                <w:szCs w:val="21"/>
                <w:highlight w:val="none"/>
              </w:rPr>
              <w:t xml:space="preserve"> </w:t>
            </w:r>
            <w:r>
              <w:rPr>
                <w:rFonts w:hint="eastAsia" w:asciiTheme="minorEastAsia" w:hAnsiTheme="minorEastAsia" w:eastAsiaTheme="minorEastAsia" w:cstheme="minorEastAsia"/>
                <w:b/>
                <w:bCs/>
                <w:color w:val="auto"/>
                <w:spacing w:val="3"/>
                <w:sz w:val="21"/>
                <w:szCs w:val="21"/>
                <w:highlight w:val="none"/>
              </w:rPr>
              <w:t>四舍五入精确至</w:t>
            </w:r>
            <w:r>
              <w:rPr>
                <w:rFonts w:hint="eastAsia" w:asciiTheme="minorEastAsia" w:hAnsiTheme="minorEastAsia" w:eastAsiaTheme="minorEastAsia" w:cstheme="minorEastAsia"/>
                <w:color w:val="auto"/>
                <w:spacing w:val="-35"/>
                <w:sz w:val="21"/>
                <w:szCs w:val="21"/>
                <w:highlight w:val="none"/>
              </w:rPr>
              <w:t xml:space="preserve"> </w:t>
            </w:r>
            <w:r>
              <w:rPr>
                <w:rFonts w:hint="eastAsia" w:asciiTheme="minorEastAsia" w:hAnsiTheme="minorEastAsia" w:eastAsiaTheme="minorEastAsia" w:cstheme="minorEastAsia"/>
                <w:b/>
                <w:bCs/>
                <w:color w:val="auto"/>
                <w:spacing w:val="3"/>
                <w:sz w:val="21"/>
                <w:szCs w:val="21"/>
                <w:highlight w:val="none"/>
              </w:rPr>
              <w:t>0.01</w:t>
            </w:r>
            <w:r>
              <w:rPr>
                <w:rFonts w:hint="eastAsia" w:asciiTheme="minorEastAsia" w:hAnsiTheme="minorEastAsia" w:eastAsiaTheme="minorEastAsia" w:cstheme="minorEastAsia"/>
                <w:b/>
                <w:bCs/>
                <w:color w:val="auto"/>
                <w:spacing w:val="-14"/>
                <w:sz w:val="21"/>
                <w:szCs w:val="21"/>
                <w:highlight w:val="none"/>
              </w:rPr>
              <w:t>％，</w:t>
            </w:r>
            <w:r>
              <w:rPr>
                <w:rFonts w:hint="eastAsia" w:asciiTheme="minorEastAsia" w:hAnsiTheme="minorEastAsia" w:eastAsiaTheme="minorEastAsia" w:cstheme="minorEastAsia"/>
                <w:b/>
                <w:bCs/>
                <w:color w:val="auto"/>
                <w:spacing w:val="3"/>
                <w:sz w:val="21"/>
                <w:szCs w:val="21"/>
                <w:highlight w:val="none"/>
              </w:rPr>
              <w:t>其它计算值四舍五入，</w:t>
            </w:r>
            <w:r>
              <w:rPr>
                <w:rFonts w:hint="eastAsia" w:asciiTheme="minorEastAsia" w:hAnsiTheme="minorEastAsia" w:eastAsiaTheme="minorEastAsia" w:cstheme="minorEastAsia"/>
                <w:b/>
                <w:bCs/>
                <w:color w:val="auto"/>
                <w:spacing w:val="6"/>
                <w:sz w:val="21"/>
                <w:szCs w:val="21"/>
                <w:highlight w:val="none"/>
              </w:rPr>
              <w:t>保留两位有效小数。</w:t>
            </w:r>
          </w:p>
        </w:tc>
      </w:tr>
      <w:tr w14:paraId="0B693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855" w:type="dxa"/>
            <w:gridSpan w:val="2"/>
            <w:vAlign w:val="top"/>
          </w:tcPr>
          <w:p w14:paraId="6C0544FD">
            <w:pPr>
              <w:pStyle w:val="22"/>
              <w:pageBreakBefore w:val="0"/>
              <w:overflowPunct/>
              <w:bidi w:val="0"/>
              <w:spacing w:before="241" w:line="267" w:lineRule="exact"/>
              <w:ind w:left="673"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position w:val="1"/>
                <w:sz w:val="21"/>
                <w:szCs w:val="21"/>
                <w:highlight w:val="none"/>
              </w:rPr>
              <w:t>2.2.3</w:t>
            </w:r>
          </w:p>
        </w:tc>
        <w:tc>
          <w:tcPr>
            <w:tcW w:w="1834" w:type="dxa"/>
            <w:vAlign w:val="top"/>
          </w:tcPr>
          <w:p w14:paraId="73299763">
            <w:pPr>
              <w:pStyle w:val="22"/>
              <w:pageBreakBefore w:val="0"/>
              <w:overflowPunct/>
              <w:bidi w:val="0"/>
              <w:spacing w:before="80" w:line="256" w:lineRule="auto"/>
              <w:ind w:left="576" w:right="0" w:hanging="41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8"/>
                <w:sz w:val="21"/>
                <w:szCs w:val="21"/>
                <w:highlight w:val="none"/>
              </w:rPr>
              <w:t>投标报价的偏差率</w:t>
            </w:r>
            <w:r>
              <w:rPr>
                <w:rFonts w:hint="eastAsia" w:asciiTheme="minorEastAsia" w:hAnsiTheme="minorEastAsia" w:eastAsiaTheme="minorEastAsia" w:cstheme="minorEastAsia"/>
                <w:color w:val="auto"/>
                <w:spacing w:val="7"/>
                <w:sz w:val="21"/>
                <w:szCs w:val="21"/>
                <w:highlight w:val="none"/>
              </w:rPr>
              <w:t>计算公式</w:t>
            </w:r>
          </w:p>
        </w:tc>
        <w:tc>
          <w:tcPr>
            <w:tcW w:w="5885" w:type="dxa"/>
            <w:vAlign w:val="top"/>
          </w:tcPr>
          <w:p w14:paraId="03007495">
            <w:pPr>
              <w:pStyle w:val="22"/>
              <w:pageBreakBefore w:val="0"/>
              <w:overflowPunct/>
              <w:bidi w:val="0"/>
              <w:spacing w:before="80" w:line="256" w:lineRule="auto"/>
              <w:ind w:left="114" w:right="0" w:hanging="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7"/>
                <w:sz w:val="21"/>
                <w:szCs w:val="21"/>
                <w:highlight w:val="none"/>
              </w:rPr>
              <w:t>报价偏差率=100%×（投标报价－评标基准价）÷评标基准价</w:t>
            </w:r>
            <w:r>
              <w:rPr>
                <w:rFonts w:hint="eastAsia" w:asciiTheme="minorEastAsia" w:hAnsiTheme="minorEastAsia" w:eastAsiaTheme="minorEastAsia" w:cstheme="minorEastAsia"/>
                <w:color w:val="auto"/>
                <w:spacing w:val="9"/>
                <w:sz w:val="21"/>
                <w:szCs w:val="21"/>
                <w:highlight w:val="none"/>
              </w:rPr>
              <w:t>注：计算值保留两位有效小数，第三位小数四舍五入。</w:t>
            </w:r>
          </w:p>
        </w:tc>
      </w:tr>
      <w:tr w14:paraId="45692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1855" w:type="dxa"/>
            <w:gridSpan w:val="2"/>
            <w:vAlign w:val="center"/>
          </w:tcPr>
          <w:p w14:paraId="5B735E34">
            <w:pPr>
              <w:pStyle w:val="22"/>
              <w:pageBreakBefore w:val="0"/>
              <w:overflowPunct/>
              <w:bidi w:val="0"/>
              <w:spacing w:before="65" w:line="268" w:lineRule="exact"/>
              <w:ind w:right="0"/>
              <w:jc w:val="center"/>
              <w:rPr>
                <w:rFonts w:hint="eastAsia" w:asciiTheme="minorEastAsia" w:hAnsiTheme="minorEastAsia" w:eastAsiaTheme="minorEastAsia" w:cstheme="minorEastAsia"/>
                <w:color w:val="auto"/>
                <w:spacing w:val="2"/>
                <w:position w:val="1"/>
                <w:sz w:val="21"/>
                <w:szCs w:val="21"/>
                <w:highlight w:val="none"/>
              </w:rPr>
            </w:pPr>
            <w:r>
              <w:rPr>
                <w:rFonts w:hint="eastAsia" w:asciiTheme="minorEastAsia" w:hAnsiTheme="minorEastAsia" w:eastAsiaTheme="minorEastAsia" w:cstheme="minorEastAsia"/>
                <w:b/>
                <w:bCs/>
                <w:color w:val="auto"/>
                <w:spacing w:val="5"/>
                <w:sz w:val="21"/>
                <w:szCs w:val="21"/>
                <w:highlight w:val="none"/>
              </w:rPr>
              <w:t>条款号</w:t>
            </w:r>
          </w:p>
        </w:tc>
        <w:tc>
          <w:tcPr>
            <w:tcW w:w="1834" w:type="dxa"/>
            <w:vAlign w:val="center"/>
          </w:tcPr>
          <w:p w14:paraId="154D73A3">
            <w:pPr>
              <w:pStyle w:val="22"/>
              <w:pageBreakBefore w:val="0"/>
              <w:overflowPunct/>
              <w:bidi w:val="0"/>
              <w:spacing w:before="65" w:line="228" w:lineRule="auto"/>
              <w:ind w:right="0"/>
              <w:jc w:val="center"/>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b/>
                <w:bCs/>
                <w:color w:val="auto"/>
                <w:spacing w:val="6"/>
                <w:sz w:val="21"/>
                <w:szCs w:val="21"/>
                <w:highlight w:val="none"/>
              </w:rPr>
              <w:t>评审因素</w:t>
            </w:r>
          </w:p>
        </w:tc>
        <w:tc>
          <w:tcPr>
            <w:tcW w:w="5885" w:type="dxa"/>
            <w:vAlign w:val="center"/>
          </w:tcPr>
          <w:p w14:paraId="2C042912">
            <w:pPr>
              <w:pStyle w:val="22"/>
              <w:pageBreakBefore w:val="0"/>
              <w:overflowPunct/>
              <w:bidi w:val="0"/>
              <w:spacing w:before="79" w:line="270" w:lineRule="auto"/>
              <w:ind w:left="116" w:right="0" w:hanging="2"/>
              <w:jc w:val="center"/>
              <w:rPr>
                <w:rFonts w:hint="eastAsia" w:asciiTheme="minorEastAsia" w:hAnsiTheme="minorEastAsia" w:eastAsiaTheme="minorEastAsia" w:cstheme="minorEastAsia"/>
                <w:color w:val="auto"/>
                <w:spacing w:val="11"/>
                <w:sz w:val="21"/>
                <w:szCs w:val="21"/>
                <w:highlight w:val="none"/>
              </w:rPr>
            </w:pPr>
            <w:r>
              <w:rPr>
                <w:rFonts w:hint="eastAsia" w:asciiTheme="minorEastAsia" w:hAnsiTheme="minorEastAsia" w:eastAsiaTheme="minorEastAsia" w:cstheme="minorEastAsia"/>
                <w:b/>
                <w:bCs/>
                <w:color w:val="auto"/>
                <w:spacing w:val="6"/>
                <w:sz w:val="21"/>
                <w:szCs w:val="21"/>
                <w:highlight w:val="none"/>
              </w:rPr>
              <w:t>评分标准</w:t>
            </w:r>
          </w:p>
        </w:tc>
      </w:tr>
      <w:tr w14:paraId="6F011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27" w:type="dxa"/>
            <w:vMerge w:val="continue"/>
            <w:vAlign w:val="center"/>
          </w:tcPr>
          <w:p w14:paraId="58FF7760">
            <w:pPr>
              <w:pStyle w:val="22"/>
              <w:pageBreakBefore w:val="0"/>
              <w:overflowPunct/>
              <w:bidi w:val="0"/>
              <w:spacing w:before="65" w:line="268" w:lineRule="exact"/>
              <w:ind w:right="0"/>
              <w:jc w:val="center"/>
              <w:rPr>
                <w:rFonts w:hint="eastAsia" w:asciiTheme="minorEastAsia" w:hAnsiTheme="minorEastAsia" w:eastAsiaTheme="minorEastAsia" w:cstheme="minorEastAsia"/>
                <w:b/>
                <w:bCs/>
                <w:color w:val="auto"/>
                <w:spacing w:val="5"/>
                <w:sz w:val="21"/>
                <w:szCs w:val="21"/>
                <w:highlight w:val="none"/>
              </w:rPr>
            </w:pPr>
          </w:p>
        </w:tc>
        <w:tc>
          <w:tcPr>
            <w:tcW w:w="928" w:type="dxa"/>
            <w:vMerge w:val="restart"/>
            <w:vAlign w:val="center"/>
          </w:tcPr>
          <w:p w14:paraId="644A9BEF">
            <w:pPr>
              <w:pStyle w:val="22"/>
              <w:pageBreakBefore w:val="0"/>
              <w:overflowPunct/>
              <w:bidi w:val="0"/>
              <w:spacing w:before="65" w:line="268" w:lineRule="exact"/>
              <w:ind w:right="0"/>
              <w:jc w:val="center"/>
              <w:rPr>
                <w:rFonts w:hint="eastAsia" w:asciiTheme="minorEastAsia" w:hAnsiTheme="minorEastAsia" w:eastAsiaTheme="minorEastAsia" w:cstheme="minorEastAsia"/>
                <w:color w:val="auto"/>
                <w:spacing w:val="6"/>
                <w:sz w:val="21"/>
                <w:szCs w:val="21"/>
                <w:highlight w:val="none"/>
              </w:rPr>
            </w:pPr>
            <w:r>
              <w:rPr>
                <w:rFonts w:hint="eastAsia" w:asciiTheme="minorEastAsia" w:hAnsiTheme="minorEastAsia" w:eastAsiaTheme="minorEastAsia" w:cstheme="minorEastAsia"/>
                <w:color w:val="auto"/>
                <w:spacing w:val="6"/>
                <w:sz w:val="21"/>
                <w:szCs w:val="21"/>
                <w:highlight w:val="none"/>
              </w:rPr>
              <w:t>经济标</w:t>
            </w:r>
          </w:p>
          <w:p w14:paraId="4389960F">
            <w:pPr>
              <w:pStyle w:val="22"/>
              <w:pageBreakBefore w:val="0"/>
              <w:overflowPunct/>
              <w:bidi w:val="0"/>
              <w:spacing w:before="65" w:line="268" w:lineRule="exact"/>
              <w:ind w:right="0"/>
              <w:jc w:val="center"/>
              <w:rPr>
                <w:rFonts w:hint="eastAsia" w:asciiTheme="minorEastAsia" w:hAnsiTheme="minorEastAsia" w:eastAsiaTheme="minorEastAsia" w:cstheme="minorEastAsia"/>
                <w:b/>
                <w:bCs/>
                <w:color w:val="auto"/>
                <w:spacing w:val="5"/>
                <w:sz w:val="21"/>
                <w:szCs w:val="21"/>
                <w:highlight w:val="none"/>
              </w:rPr>
            </w:pPr>
            <w:r>
              <w:rPr>
                <w:rFonts w:hint="eastAsia" w:asciiTheme="minorEastAsia" w:hAnsiTheme="minorEastAsia" w:eastAsiaTheme="minorEastAsia" w:cstheme="minorEastAsia"/>
                <w:color w:val="auto"/>
                <w:spacing w:val="-2"/>
                <w:sz w:val="21"/>
                <w:szCs w:val="21"/>
                <w:highlight w:val="none"/>
              </w:rPr>
              <w:t>（</w:t>
            </w:r>
            <w:r>
              <w:rPr>
                <w:rFonts w:hint="eastAsia" w:asciiTheme="minorEastAsia" w:hAnsiTheme="minorEastAsia" w:eastAsiaTheme="minorEastAsia" w:cstheme="minorEastAsia"/>
                <w:color w:val="auto"/>
                <w:spacing w:val="-2"/>
                <w:sz w:val="21"/>
                <w:szCs w:val="21"/>
                <w:highlight w:val="none"/>
                <w:lang w:val="en-US" w:eastAsia="zh-CN"/>
              </w:rPr>
              <w:t>100</w:t>
            </w:r>
            <w:r>
              <w:rPr>
                <w:rFonts w:hint="eastAsia" w:asciiTheme="minorEastAsia" w:hAnsiTheme="minorEastAsia" w:eastAsiaTheme="minorEastAsia" w:cstheme="minorEastAsia"/>
                <w:color w:val="auto"/>
                <w:spacing w:val="-2"/>
                <w:sz w:val="21"/>
                <w:szCs w:val="21"/>
                <w:highlight w:val="none"/>
              </w:rPr>
              <w:t>分）</w:t>
            </w:r>
          </w:p>
        </w:tc>
        <w:tc>
          <w:tcPr>
            <w:tcW w:w="1834" w:type="dxa"/>
            <w:vAlign w:val="center"/>
          </w:tcPr>
          <w:p w14:paraId="51BC5D59">
            <w:pPr>
              <w:pStyle w:val="22"/>
              <w:pageBreakBefore w:val="0"/>
              <w:overflowPunct/>
              <w:bidi w:val="0"/>
              <w:spacing w:before="65" w:line="228" w:lineRule="auto"/>
              <w:ind w:right="0"/>
              <w:jc w:val="center"/>
              <w:rPr>
                <w:rFonts w:hint="eastAsia" w:asciiTheme="minorEastAsia" w:hAnsiTheme="minorEastAsia" w:eastAsiaTheme="minorEastAsia" w:cstheme="minorEastAsia"/>
                <w:b/>
                <w:bCs/>
                <w:color w:val="auto"/>
                <w:spacing w:val="6"/>
                <w:sz w:val="21"/>
                <w:szCs w:val="21"/>
                <w:highlight w:val="none"/>
              </w:rPr>
            </w:pPr>
            <w:r>
              <w:rPr>
                <w:rFonts w:hint="eastAsia" w:asciiTheme="minorEastAsia" w:hAnsiTheme="minorEastAsia" w:eastAsiaTheme="minorEastAsia" w:cstheme="minorEastAsia"/>
                <w:color w:val="auto"/>
                <w:spacing w:val="7"/>
                <w:sz w:val="21"/>
                <w:szCs w:val="21"/>
                <w:highlight w:val="none"/>
              </w:rPr>
              <w:t>评审规则</w:t>
            </w:r>
          </w:p>
        </w:tc>
        <w:tc>
          <w:tcPr>
            <w:tcW w:w="5885" w:type="dxa"/>
            <w:vAlign w:val="center"/>
          </w:tcPr>
          <w:p w14:paraId="4189F7FA">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color w:val="auto"/>
                <w:sz w:val="21"/>
                <w:highlight w:val="none"/>
              </w:rPr>
            </w:pPr>
            <w:r>
              <w:rPr>
                <w:rFonts w:hint="eastAsia" w:ascii="宋体" w:hAnsi="宋体" w:eastAsia="宋体" w:cs="宋体"/>
                <w:color w:val="auto"/>
                <w:sz w:val="21"/>
                <w:highlight w:val="none"/>
              </w:rPr>
              <w:t>1.将进入经济标评审环节的所有投标人的有效投标报价依据评标基准价</w:t>
            </w:r>
            <w:r>
              <w:rPr>
                <w:rFonts w:hint="eastAsia" w:ascii="宋体" w:hAnsi="宋体" w:eastAsia="宋体" w:cs="宋体"/>
                <w:color w:val="auto"/>
                <w:sz w:val="21"/>
                <w:highlight w:val="none"/>
                <w:lang w:val="en-US" w:eastAsia="zh-CN"/>
              </w:rPr>
              <w:t>计算得出</w:t>
            </w:r>
            <w:r>
              <w:rPr>
                <w:rFonts w:hint="eastAsia" w:ascii="宋体" w:hAnsi="宋体" w:eastAsia="宋体" w:cs="宋体"/>
                <w:color w:val="auto"/>
                <w:sz w:val="21"/>
                <w:highlight w:val="none"/>
              </w:rPr>
              <w:t>投标人的经济标得分。</w:t>
            </w:r>
          </w:p>
          <w:p w14:paraId="0D3BFA78">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color w:val="auto"/>
                <w:sz w:val="21"/>
                <w:highlight w:val="none"/>
              </w:rPr>
            </w:pPr>
            <w:r>
              <w:rPr>
                <w:rFonts w:hint="eastAsia" w:ascii="宋体" w:hAnsi="宋体" w:eastAsia="宋体" w:cs="宋体"/>
                <w:color w:val="auto"/>
                <w:sz w:val="21"/>
                <w:highlight w:val="none"/>
              </w:rPr>
              <w:t>2.下浮率K：以0.2%为一档等差增序排号，开标时通过摇珠等方式抽取3个不同数值，3个数值的平均值即为下浮率k，k四舍五入精确到0.01%。</w:t>
            </w:r>
          </w:p>
          <w:p w14:paraId="54E70556">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color w:val="auto"/>
                <w:sz w:val="21"/>
                <w:highlight w:val="none"/>
              </w:rPr>
            </w:pPr>
            <w:r>
              <w:rPr>
                <w:rFonts w:hint="eastAsia" w:ascii="宋体" w:hAnsi="宋体" w:eastAsia="宋体" w:cs="宋体"/>
                <w:color w:val="auto"/>
                <w:sz w:val="21"/>
                <w:highlight w:val="none"/>
              </w:rPr>
              <w:t>3.F1 值：由招标人在开标时通过摇珠等方式，从【0.4、0.45、0.5、0.55、0.6、0.65、0.7、0.75、0.8】9 个数字中抽取产生。</w:t>
            </w:r>
          </w:p>
          <w:p w14:paraId="3858D1AE">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Theme="minorEastAsia" w:hAnsiTheme="minorEastAsia" w:eastAsiaTheme="minorEastAsia" w:cstheme="minorEastAsia"/>
                <w:b/>
                <w:bCs/>
                <w:color w:val="auto"/>
                <w:spacing w:val="6"/>
                <w:sz w:val="21"/>
                <w:szCs w:val="21"/>
                <w:highlight w:val="none"/>
              </w:rPr>
            </w:pPr>
            <w:r>
              <w:rPr>
                <w:rFonts w:hint="eastAsia" w:ascii="宋体" w:hAnsi="宋体" w:eastAsia="宋体" w:cs="宋体"/>
                <w:color w:val="auto"/>
                <w:sz w:val="21"/>
                <w:highlight w:val="none"/>
              </w:rPr>
              <w:t>4.投标报价等于基准价的，得满分；报价偏离评标基准价时应当扣除相应单位分值 F 值：投标报价低于该基准价的，每低于 1%扣一定的分值（F1），投标价格高于该基准价的，每高出 1%扣一定的分值（F2），其余采用直线插入法计算。</w:t>
            </w:r>
          </w:p>
        </w:tc>
      </w:tr>
      <w:tr w14:paraId="43ED9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27" w:type="dxa"/>
            <w:vMerge w:val="continue"/>
            <w:vAlign w:val="center"/>
          </w:tcPr>
          <w:p w14:paraId="65916224">
            <w:pPr>
              <w:pStyle w:val="22"/>
              <w:pageBreakBefore w:val="0"/>
              <w:overflowPunct/>
              <w:bidi w:val="0"/>
              <w:spacing w:before="65" w:line="268" w:lineRule="exact"/>
              <w:ind w:right="0"/>
              <w:jc w:val="center"/>
              <w:rPr>
                <w:rFonts w:hint="eastAsia" w:asciiTheme="minorEastAsia" w:hAnsiTheme="minorEastAsia" w:eastAsiaTheme="minorEastAsia" w:cstheme="minorEastAsia"/>
                <w:b/>
                <w:bCs/>
                <w:color w:val="auto"/>
                <w:spacing w:val="5"/>
                <w:sz w:val="21"/>
                <w:szCs w:val="21"/>
                <w:highlight w:val="none"/>
              </w:rPr>
            </w:pPr>
          </w:p>
        </w:tc>
        <w:tc>
          <w:tcPr>
            <w:tcW w:w="928" w:type="dxa"/>
            <w:vMerge w:val="continue"/>
            <w:vAlign w:val="center"/>
          </w:tcPr>
          <w:p w14:paraId="295A7605">
            <w:pPr>
              <w:pStyle w:val="22"/>
              <w:pageBreakBefore w:val="0"/>
              <w:overflowPunct/>
              <w:bidi w:val="0"/>
              <w:spacing w:before="65" w:line="268" w:lineRule="exact"/>
              <w:ind w:right="0"/>
              <w:jc w:val="center"/>
              <w:rPr>
                <w:rFonts w:hint="eastAsia" w:asciiTheme="minorEastAsia" w:hAnsiTheme="minorEastAsia" w:eastAsiaTheme="minorEastAsia" w:cstheme="minorEastAsia"/>
                <w:color w:val="auto"/>
                <w:spacing w:val="-2"/>
                <w:sz w:val="21"/>
                <w:szCs w:val="21"/>
                <w:highlight w:val="none"/>
              </w:rPr>
            </w:pPr>
          </w:p>
        </w:tc>
        <w:tc>
          <w:tcPr>
            <w:tcW w:w="1834" w:type="dxa"/>
            <w:vAlign w:val="center"/>
          </w:tcPr>
          <w:p w14:paraId="31FE2C62">
            <w:pPr>
              <w:pStyle w:val="22"/>
              <w:pageBreakBefore w:val="0"/>
              <w:overflowPunct/>
              <w:bidi w:val="0"/>
              <w:spacing w:before="65" w:line="228" w:lineRule="auto"/>
              <w:ind w:right="0"/>
              <w:jc w:val="center"/>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z w:val="21"/>
                <w:szCs w:val="21"/>
                <w:highlight w:val="none"/>
              </w:rPr>
              <w:t>报价得分计算公式</w:t>
            </w:r>
          </w:p>
        </w:tc>
        <w:tc>
          <w:tcPr>
            <w:tcW w:w="5885" w:type="dxa"/>
            <w:vAlign w:val="center"/>
          </w:tcPr>
          <w:p w14:paraId="4AFDFEFB">
            <w:pPr>
              <w:pStyle w:val="24"/>
              <w:pageBreakBefore w:val="0"/>
              <w:overflowPunct/>
              <w:bidi w:val="0"/>
              <w:ind w:right="0"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报价得分：M＝N-100 ×</w:t>
            </w:r>
            <w:r>
              <w:rPr>
                <w:rFonts w:hint="eastAsia" w:asciiTheme="minorEastAsia" w:hAnsiTheme="minorEastAsia" w:eastAsiaTheme="minorEastAsia" w:cstheme="minorEastAsia"/>
                <w:color w:val="auto"/>
                <w:position w:val="-30"/>
                <w:sz w:val="21"/>
                <w:szCs w:val="21"/>
                <w:highlight w:val="none"/>
              </w:rPr>
              <w:object>
                <v:shape id="_x0000_i1025" o:spt="75" type="#_x0000_t75" style="height:32.6pt;width:45.95pt;" o:ole="t" filled="f" o:preferrelative="t" stroked="f" coordsize="21600,21600">
                  <v:path/>
                  <v:fill on="f" focussize="0,0"/>
                  <v:stroke on="f"/>
                  <v:imagedata r:id="rId20" o:title=""/>
                  <o:lock v:ext="edit" grouping="f" rotation="f" text="f" aspectratio="t"/>
                  <w10:wrap type="none"/>
                  <w10:anchorlock/>
                </v:shape>
                <o:OLEObject Type="Embed" ProgID="Equation.3" ShapeID="_x0000_i1025" DrawAspect="Content" ObjectID="_1468075725" r:id="rId19">
                  <o:LockedField>false</o:LockedField>
                </o:OLEObject>
              </w:object>
            </w:r>
            <w:r>
              <w:rPr>
                <w:rFonts w:hint="eastAsia" w:asciiTheme="minorEastAsia" w:hAnsiTheme="minorEastAsia" w:eastAsiaTheme="minorEastAsia" w:cstheme="minorEastAsia"/>
                <w:color w:val="auto"/>
                <w:sz w:val="21"/>
                <w:szCs w:val="21"/>
                <w:highlight w:val="none"/>
              </w:rPr>
              <w:t>×F</w:t>
            </w:r>
          </w:p>
          <w:p w14:paraId="27601F76">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color w:val="auto"/>
                <w:sz w:val="21"/>
                <w:highlight w:val="none"/>
              </w:rPr>
            </w:pPr>
            <w:r>
              <w:rPr>
                <w:rFonts w:hint="eastAsia" w:ascii="宋体" w:hAnsi="宋体" w:eastAsia="宋体" w:cs="宋体"/>
                <w:color w:val="auto"/>
                <w:sz w:val="21"/>
                <w:highlight w:val="none"/>
              </w:rPr>
              <w:t>其中 N（分）：投标报价权重分值，为</w:t>
            </w:r>
            <w:r>
              <w:rPr>
                <w:rFonts w:hint="eastAsia" w:ascii="宋体" w:hAnsi="宋体" w:eastAsia="宋体" w:cs="宋体"/>
                <w:color w:val="auto"/>
                <w:sz w:val="21"/>
                <w:highlight w:val="none"/>
                <w:lang w:val="en-US" w:eastAsia="zh-CN"/>
              </w:rPr>
              <w:t>100</w:t>
            </w:r>
            <w:r>
              <w:rPr>
                <w:rFonts w:hint="eastAsia" w:ascii="宋体" w:hAnsi="宋体" w:eastAsia="宋体" w:cs="宋体"/>
                <w:color w:val="auto"/>
                <w:sz w:val="21"/>
                <w:highlight w:val="none"/>
              </w:rPr>
              <w:t>分；</w:t>
            </w:r>
          </w:p>
          <w:p w14:paraId="6B0E5BC3">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color w:val="auto"/>
                <w:sz w:val="21"/>
                <w:highlight w:val="none"/>
              </w:rPr>
            </w:pPr>
            <w:r>
              <w:rPr>
                <w:rFonts w:hint="eastAsia" w:ascii="宋体" w:hAnsi="宋体" w:eastAsia="宋体" w:cs="宋体"/>
                <w:color w:val="auto"/>
                <w:sz w:val="21"/>
                <w:highlight w:val="none"/>
              </w:rPr>
              <w:t>P（元）：投标文件通过初步评审的有效投标报价；</w:t>
            </w:r>
          </w:p>
          <w:p w14:paraId="07A0F638">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color w:val="auto"/>
                <w:sz w:val="21"/>
                <w:highlight w:val="none"/>
              </w:rPr>
            </w:pPr>
            <w:r>
              <w:rPr>
                <w:rFonts w:hint="eastAsia" w:ascii="宋体" w:hAnsi="宋体" w:eastAsia="宋体" w:cs="宋体"/>
                <w:color w:val="auto"/>
                <w:sz w:val="21"/>
                <w:highlight w:val="none"/>
              </w:rPr>
              <w:t>Q（元）：评标基准价；</w:t>
            </w:r>
          </w:p>
          <w:p w14:paraId="17E162F1">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F：偏离扣分分值，F2＝ </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 xml:space="preserve"> F1（F2≥2F1</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w:t>
            </w:r>
          </w:p>
          <w:p w14:paraId="3CC6DD8D">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color w:val="auto"/>
                <w:sz w:val="21"/>
                <w:highlight w:val="none"/>
              </w:rPr>
            </w:pPr>
            <w:r>
              <w:rPr>
                <w:rFonts w:hint="eastAsia" w:ascii="宋体" w:hAnsi="宋体" w:eastAsia="宋体" w:cs="宋体"/>
                <w:color w:val="auto"/>
                <w:sz w:val="21"/>
                <w:highlight w:val="none"/>
              </w:rPr>
              <w:t>F1值由招标人在开标时通过摇珠随机的方式，从0.4至0.8（以0.05递增）中随机抽取产生。</w:t>
            </w:r>
          </w:p>
          <w:p w14:paraId="354380C2">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highlight w:val="none"/>
              </w:rPr>
              <w:t>注：计算值按四舍五入法保留两位有效小数，本项最低得分为0分。</w:t>
            </w:r>
          </w:p>
        </w:tc>
      </w:tr>
    </w:tbl>
    <w:p w14:paraId="087D2182">
      <w:pPr>
        <w:pStyle w:val="10"/>
        <w:pageBreakBefore w:val="0"/>
        <w:overflowPunct/>
        <w:bidi w:val="0"/>
        <w:spacing w:line="14" w:lineRule="auto"/>
        <w:ind w:right="0"/>
        <w:rPr>
          <w:color w:val="auto"/>
          <w:sz w:val="2"/>
          <w:highlight w:val="none"/>
        </w:rPr>
      </w:pPr>
    </w:p>
    <w:p w14:paraId="30063D6D">
      <w:pPr>
        <w:pageBreakBefore w:val="0"/>
        <w:overflowPunct/>
        <w:bidi w:val="0"/>
        <w:spacing w:line="14" w:lineRule="auto"/>
        <w:ind w:right="0"/>
        <w:rPr>
          <w:color w:val="auto"/>
          <w:sz w:val="2"/>
          <w:szCs w:val="2"/>
          <w:highlight w:val="none"/>
        </w:rPr>
        <w:sectPr>
          <w:footerReference r:id="rId10" w:type="default"/>
          <w:type w:val="continuous"/>
          <w:pgSz w:w="11906" w:h="16839"/>
          <w:pgMar w:top="1092" w:right="1134" w:bottom="1048" w:left="1134" w:header="0" w:footer="886" w:gutter="0"/>
          <w:pgNumType w:fmt="decimal"/>
          <w:cols w:equalWidth="0" w:num="1">
            <w:col w:w="10595"/>
          </w:cols>
        </w:sectPr>
      </w:pPr>
    </w:p>
    <w:p w14:paraId="2ED16731">
      <w:pPr>
        <w:keepNext/>
        <w:keepLines/>
        <w:pageBreakBefore w:val="0"/>
        <w:widowControl w:val="0"/>
        <w:overflowPunct/>
        <w:bidi w:val="0"/>
        <w:spacing w:beforeLines="0" w:afterLines="0" w:line="320" w:lineRule="exact"/>
        <w:ind w:right="0"/>
        <w:jc w:val="both"/>
        <w:outlineLvl w:val="1"/>
        <w:rPr>
          <w:rFonts w:hint="eastAsia" w:ascii="Cambria" w:hAnsi="Cambria" w:eastAsia="宋体" w:cs="Times New Roman"/>
          <w:b/>
          <w:bCs/>
          <w:color w:val="auto"/>
          <w:kern w:val="2"/>
          <w:sz w:val="28"/>
          <w:szCs w:val="28"/>
          <w:highlight w:val="none"/>
          <w:lang w:val="en-US" w:eastAsia="zh-CN" w:bidi="ar-SA"/>
        </w:rPr>
      </w:pPr>
      <w:r>
        <w:rPr>
          <w:rFonts w:hint="eastAsia" w:ascii="Cambria" w:hAnsi="Cambria" w:eastAsia="宋体" w:cs="Times New Roman"/>
          <w:b/>
          <w:bCs/>
          <w:color w:val="auto"/>
          <w:kern w:val="2"/>
          <w:sz w:val="28"/>
          <w:szCs w:val="28"/>
          <w:highlight w:val="none"/>
          <w:lang w:val="en-US" w:eastAsia="zh-CN" w:bidi="ar-SA"/>
        </w:rPr>
        <w:t>评标办法正文部分</w:t>
      </w:r>
    </w:p>
    <w:p w14:paraId="761B0BA3">
      <w:pPr>
        <w:pageBreakBefore w:val="0"/>
        <w:widowControl w:val="0"/>
        <w:kinsoku/>
        <w:wordWrap/>
        <w:overflowPunct/>
        <w:topLinePunct w:val="0"/>
        <w:autoSpaceDE/>
        <w:autoSpaceDN/>
        <w:bidi w:val="0"/>
        <w:adjustRightInd/>
        <w:snapToGrid/>
        <w:spacing w:beforeLines="0" w:afterLines="0" w:line="320" w:lineRule="exact"/>
        <w:ind w:right="0"/>
        <w:jc w:val="both"/>
        <w:textAlignment w:val="auto"/>
        <w:rPr>
          <w:rFonts w:hint="eastAsia" w:ascii="宋体" w:hAnsi="宋体" w:eastAsia="宋体" w:cs="Times New Roman"/>
          <w:b/>
          <w:bCs/>
          <w:snapToGrid/>
          <w:color w:val="auto"/>
          <w:kern w:val="2"/>
          <w:sz w:val="24"/>
          <w:szCs w:val="24"/>
          <w:highlight w:val="none"/>
          <w:lang w:eastAsia="zh-CN"/>
        </w:rPr>
      </w:pPr>
    </w:p>
    <w:p w14:paraId="1504164D">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b/>
          <w:bCs/>
          <w:snapToGrid/>
          <w:color w:val="auto"/>
          <w:kern w:val="2"/>
          <w:sz w:val="24"/>
          <w:szCs w:val="24"/>
          <w:highlight w:val="none"/>
          <w:lang w:eastAsia="zh-CN"/>
        </w:rPr>
      </w:pPr>
      <w:r>
        <w:rPr>
          <w:rFonts w:hint="eastAsia" w:ascii="宋体" w:hAnsi="宋体" w:eastAsia="宋体" w:cs="Times New Roman"/>
          <w:b/>
          <w:bCs/>
          <w:snapToGrid/>
          <w:color w:val="auto"/>
          <w:kern w:val="2"/>
          <w:sz w:val="24"/>
          <w:szCs w:val="24"/>
          <w:highlight w:val="none"/>
          <w:lang w:eastAsia="zh-CN"/>
        </w:rPr>
        <w:t>1</w:t>
      </w:r>
      <w:r>
        <w:rPr>
          <w:rFonts w:hint="eastAsia" w:ascii="宋体" w:hAnsi="宋体" w:eastAsia="宋体" w:cs="Times New Roman"/>
          <w:b/>
          <w:bCs/>
          <w:snapToGrid/>
          <w:color w:val="auto"/>
          <w:kern w:val="2"/>
          <w:sz w:val="24"/>
          <w:szCs w:val="24"/>
          <w:highlight w:val="none"/>
          <w:lang w:val="en-US" w:eastAsia="zh-CN"/>
        </w:rPr>
        <w:t>.</w:t>
      </w:r>
      <w:r>
        <w:rPr>
          <w:rFonts w:hint="eastAsia" w:ascii="宋体" w:hAnsi="宋体" w:eastAsia="宋体" w:cs="Times New Roman"/>
          <w:b/>
          <w:bCs/>
          <w:snapToGrid/>
          <w:color w:val="auto"/>
          <w:kern w:val="2"/>
          <w:sz w:val="24"/>
          <w:szCs w:val="24"/>
          <w:highlight w:val="none"/>
          <w:lang w:eastAsia="zh-CN"/>
        </w:rPr>
        <w:t>评标方法</w:t>
      </w:r>
    </w:p>
    <w:p w14:paraId="78EE1C55">
      <w:pPr>
        <w:keepNext w:val="0"/>
        <w:keepLines w:val="0"/>
        <w:pageBreakBefore w:val="0"/>
        <w:widowControl w:val="0"/>
        <w:kinsoku/>
        <w:wordWrap/>
        <w:overflowPunct/>
        <w:topLinePunct w:val="0"/>
        <w:autoSpaceDE/>
        <w:autoSpaceDN/>
        <w:bidi w:val="0"/>
        <w:spacing w:beforeLines="0" w:afterLines="0" w:line="400" w:lineRule="exact"/>
        <w:ind w:right="0" w:firstLine="420" w:firstLineChars="200"/>
        <w:jc w:val="both"/>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本次评标采用简易评标法。评标委员会根据招标文件规定仅对投标人的经济标进行量化打分，按照投标人得分由高到低的顺序推荐中标候选人。</w:t>
      </w:r>
    </w:p>
    <w:p w14:paraId="19EB964A">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b/>
          <w:bCs/>
          <w:snapToGrid/>
          <w:color w:val="auto"/>
          <w:kern w:val="2"/>
          <w:sz w:val="24"/>
          <w:szCs w:val="24"/>
          <w:highlight w:val="none"/>
          <w:lang w:val="en-US" w:eastAsia="zh-CN"/>
        </w:rPr>
      </w:pPr>
      <w:r>
        <w:rPr>
          <w:rFonts w:hint="eastAsia" w:ascii="宋体" w:hAnsi="宋体" w:eastAsia="宋体" w:cs="Times New Roman"/>
          <w:b/>
          <w:bCs/>
          <w:snapToGrid/>
          <w:color w:val="auto"/>
          <w:kern w:val="2"/>
          <w:sz w:val="24"/>
          <w:szCs w:val="24"/>
          <w:highlight w:val="none"/>
          <w:lang w:eastAsia="zh-CN"/>
        </w:rPr>
        <w:t>2</w:t>
      </w:r>
      <w:r>
        <w:rPr>
          <w:rFonts w:hint="eastAsia" w:ascii="宋体" w:hAnsi="宋体" w:eastAsia="宋体" w:cs="Times New Roman"/>
          <w:b/>
          <w:bCs/>
          <w:snapToGrid/>
          <w:color w:val="auto"/>
          <w:kern w:val="2"/>
          <w:sz w:val="24"/>
          <w:szCs w:val="24"/>
          <w:highlight w:val="none"/>
          <w:lang w:val="en-US" w:eastAsia="zh-CN"/>
        </w:rPr>
        <w:t>.</w:t>
      </w:r>
      <w:r>
        <w:rPr>
          <w:rFonts w:hint="eastAsia" w:ascii="宋体" w:hAnsi="宋体" w:eastAsia="宋体" w:cs="Times New Roman"/>
          <w:b/>
          <w:bCs/>
          <w:snapToGrid/>
          <w:color w:val="auto"/>
          <w:kern w:val="2"/>
          <w:sz w:val="24"/>
          <w:szCs w:val="24"/>
          <w:highlight w:val="none"/>
          <w:lang w:eastAsia="zh-CN"/>
        </w:rPr>
        <w:t>评审标准</w:t>
      </w:r>
      <w:r>
        <w:rPr>
          <w:rFonts w:hint="eastAsia" w:ascii="宋体" w:hAnsi="宋体" w:eastAsia="宋体" w:cs="Times New Roman"/>
          <w:b/>
          <w:bCs/>
          <w:snapToGrid/>
          <w:color w:val="auto"/>
          <w:kern w:val="2"/>
          <w:sz w:val="24"/>
          <w:szCs w:val="24"/>
          <w:highlight w:val="none"/>
          <w:lang w:val="en-US" w:eastAsia="zh-CN"/>
        </w:rPr>
        <w:t xml:space="preserve"> </w:t>
      </w:r>
    </w:p>
    <w:p w14:paraId="32AC48F3">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2.1 初步评审标准</w:t>
      </w:r>
    </w:p>
    <w:p w14:paraId="6DFF723C">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2.1.1 形式评审标准：见评标办法前附表。</w:t>
      </w:r>
    </w:p>
    <w:p w14:paraId="2370149E">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2.1.2 资格评审标准：见评标办法前附表。</w:t>
      </w:r>
    </w:p>
    <w:p w14:paraId="3006DAD2">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2.1.3 响应性评审标准：见评标办法前附表。</w:t>
      </w:r>
    </w:p>
    <w:p w14:paraId="25427203">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p>
    <w:p w14:paraId="05A870BB">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2.</w:t>
      </w:r>
      <w:r>
        <w:rPr>
          <w:rFonts w:hint="eastAsia" w:ascii="黑体" w:hAnsi="黑体" w:eastAsia="黑体" w:cs="Times New Roman"/>
          <w:b/>
          <w:snapToGrid/>
          <w:color w:val="auto"/>
          <w:kern w:val="2"/>
          <w:sz w:val="21"/>
          <w:szCs w:val="16"/>
          <w:highlight w:val="none"/>
          <w:lang w:val="en-US" w:eastAsia="zh-CN"/>
        </w:rPr>
        <w:t>2</w:t>
      </w:r>
      <w:r>
        <w:rPr>
          <w:rFonts w:hint="eastAsia" w:ascii="黑体" w:hAnsi="黑体" w:eastAsia="黑体" w:cs="Times New Roman"/>
          <w:b/>
          <w:snapToGrid/>
          <w:color w:val="auto"/>
          <w:kern w:val="2"/>
          <w:sz w:val="21"/>
          <w:szCs w:val="16"/>
          <w:highlight w:val="none"/>
          <w:lang w:eastAsia="zh-CN"/>
        </w:rPr>
        <w:t xml:space="preserve"> </w:t>
      </w:r>
      <w:r>
        <w:rPr>
          <w:rFonts w:hint="eastAsia" w:ascii="黑体" w:hAnsi="黑体" w:eastAsia="黑体" w:cs="Times New Roman"/>
          <w:b/>
          <w:bCs w:val="0"/>
          <w:snapToGrid/>
          <w:color w:val="auto"/>
          <w:kern w:val="2"/>
          <w:sz w:val="21"/>
          <w:szCs w:val="16"/>
          <w:highlight w:val="none"/>
          <w:lang w:eastAsia="zh-CN"/>
        </w:rPr>
        <w:t>详</w:t>
      </w:r>
      <w:r>
        <w:rPr>
          <w:rFonts w:hint="eastAsia" w:ascii="黑体" w:hAnsi="黑体" w:eastAsia="黑体" w:cs="黑体"/>
          <w:b/>
          <w:bCs w:val="0"/>
          <w:snapToGrid/>
          <w:color w:val="auto"/>
          <w:kern w:val="2"/>
          <w:sz w:val="21"/>
          <w:szCs w:val="16"/>
          <w:highlight w:val="none"/>
          <w:lang w:eastAsia="zh-CN"/>
        </w:rPr>
        <w:t>细评审标准</w:t>
      </w:r>
    </w:p>
    <w:p w14:paraId="64A4B070">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.1 分值构成</w:t>
      </w:r>
    </w:p>
    <w:p w14:paraId="6AAFEEBE">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1</w:t>
      </w:r>
      <w:r>
        <w:rPr>
          <w:rFonts w:hint="eastAsia" w:ascii="宋体" w:hAnsi="宋体" w:eastAsia="宋体" w:cs="Times New Roman"/>
          <w:snapToGrid/>
          <w:color w:val="auto"/>
          <w:kern w:val="2"/>
          <w:sz w:val="21"/>
          <w:szCs w:val="21"/>
          <w:highlight w:val="none"/>
          <w:lang w:eastAsia="zh-CN"/>
        </w:rPr>
        <w:t>）经济标：见评标办法前附表。</w:t>
      </w:r>
    </w:p>
    <w:p w14:paraId="1C412890">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.2 评标基准价计算</w:t>
      </w:r>
    </w:p>
    <w:p w14:paraId="24E1F409">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评标基准价计算方法：见评标办法前附表。</w:t>
      </w:r>
    </w:p>
    <w:p w14:paraId="011A6737">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.3 投标报价的偏差率计算</w:t>
      </w:r>
    </w:p>
    <w:p w14:paraId="16455260">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投标报价的偏差率计算公式：见评标办法前附表。</w:t>
      </w:r>
    </w:p>
    <w:p w14:paraId="3406F2CB">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.4 评分标准</w:t>
      </w:r>
    </w:p>
    <w:p w14:paraId="227BEA59">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0" w:firstLineChars="0"/>
        <w:jc w:val="both"/>
        <w:textAlignment w:val="auto"/>
        <w:rPr>
          <w:rFonts w:hint="eastAsia" w:ascii="宋体" w:hAnsi="宋体" w:eastAsia="宋体" w:cs="仿宋_GB2312"/>
          <w:snapToGrid/>
          <w:color w:val="auto"/>
          <w:kern w:val="2"/>
          <w:sz w:val="21"/>
          <w:szCs w:val="21"/>
          <w:highlight w:val="none"/>
          <w:lang w:eastAsia="zh-CN"/>
        </w:rPr>
      </w:pPr>
      <w:r>
        <w:rPr>
          <w:rFonts w:hint="eastAsia" w:ascii="宋体" w:hAnsi="宋体" w:eastAsia="宋体" w:cs="仿宋_GB2312"/>
          <w:snapToGrid/>
          <w:color w:val="auto"/>
          <w:kern w:val="2"/>
          <w:sz w:val="21"/>
          <w:szCs w:val="21"/>
          <w:highlight w:val="none"/>
          <w:lang w:eastAsia="zh-CN"/>
        </w:rPr>
        <w:t xml:space="preserve">     （</w:t>
      </w:r>
      <w:r>
        <w:rPr>
          <w:rFonts w:hint="eastAsia" w:ascii="宋体" w:hAnsi="宋体" w:eastAsia="宋体" w:cs="仿宋_GB2312"/>
          <w:snapToGrid/>
          <w:color w:val="auto"/>
          <w:kern w:val="2"/>
          <w:sz w:val="21"/>
          <w:szCs w:val="21"/>
          <w:highlight w:val="none"/>
          <w:lang w:val="en-US" w:eastAsia="zh-CN"/>
        </w:rPr>
        <w:t>1</w:t>
      </w:r>
      <w:r>
        <w:rPr>
          <w:rFonts w:hint="eastAsia" w:ascii="宋体" w:hAnsi="宋体" w:eastAsia="宋体" w:cs="仿宋_GB2312"/>
          <w:snapToGrid/>
          <w:color w:val="auto"/>
          <w:kern w:val="2"/>
          <w:sz w:val="21"/>
          <w:szCs w:val="21"/>
          <w:highlight w:val="none"/>
          <w:lang w:eastAsia="zh-CN"/>
        </w:rPr>
        <w:t>）经济标评分标准：见评标办法前附表。</w:t>
      </w:r>
    </w:p>
    <w:p w14:paraId="0FAB3F94">
      <w:pPr>
        <w:keepNext w:val="0"/>
        <w:keepLines w:val="0"/>
        <w:pageBreakBefore w:val="0"/>
        <w:widowControl w:val="0"/>
        <w:kinsoku/>
        <w:wordWrap/>
        <w:overflowPunct/>
        <w:topLinePunct w:val="0"/>
        <w:autoSpaceDE/>
        <w:autoSpaceDN/>
        <w:bidi w:val="0"/>
        <w:spacing w:beforeLines="0" w:after="0" w:afterLines="0" w:line="400" w:lineRule="exact"/>
        <w:ind w:right="0" w:firstLine="180" w:firstLineChars="100"/>
        <w:jc w:val="both"/>
        <w:textAlignment w:val="auto"/>
        <w:rPr>
          <w:rFonts w:hint="eastAsia" w:ascii="Times New Roman" w:hAnsi="Times New Roman" w:eastAsia="宋体" w:cs="Times New Roman"/>
          <w:color w:val="auto"/>
          <w:kern w:val="2"/>
          <w:sz w:val="18"/>
          <w:szCs w:val="21"/>
          <w:highlight w:val="none"/>
          <w:lang w:val="en-US" w:eastAsia="zh-CN" w:bidi="ar-SA"/>
        </w:rPr>
      </w:pPr>
    </w:p>
    <w:p w14:paraId="2C1568A7">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b/>
          <w:bCs/>
          <w:snapToGrid/>
          <w:color w:val="auto"/>
          <w:kern w:val="2"/>
          <w:sz w:val="24"/>
          <w:szCs w:val="24"/>
          <w:highlight w:val="none"/>
          <w:lang w:eastAsia="zh-CN"/>
        </w:rPr>
      </w:pPr>
      <w:r>
        <w:rPr>
          <w:rFonts w:hint="eastAsia" w:ascii="宋体" w:hAnsi="宋体" w:eastAsia="宋体" w:cs="Times New Roman"/>
          <w:b/>
          <w:bCs/>
          <w:snapToGrid/>
          <w:color w:val="auto"/>
          <w:kern w:val="2"/>
          <w:sz w:val="24"/>
          <w:szCs w:val="24"/>
          <w:highlight w:val="none"/>
          <w:lang w:eastAsia="zh-CN"/>
        </w:rPr>
        <w:t>3</w:t>
      </w:r>
      <w:r>
        <w:rPr>
          <w:rFonts w:hint="eastAsia" w:ascii="宋体" w:hAnsi="宋体" w:eastAsia="宋体" w:cs="Times New Roman"/>
          <w:b/>
          <w:bCs/>
          <w:snapToGrid/>
          <w:color w:val="auto"/>
          <w:kern w:val="2"/>
          <w:sz w:val="24"/>
          <w:szCs w:val="24"/>
          <w:highlight w:val="none"/>
          <w:lang w:val="en-US" w:eastAsia="zh-CN"/>
        </w:rPr>
        <w:t>.</w:t>
      </w:r>
      <w:r>
        <w:rPr>
          <w:rFonts w:hint="eastAsia" w:ascii="宋体" w:hAnsi="宋体" w:eastAsia="宋体" w:cs="Times New Roman"/>
          <w:b/>
          <w:bCs/>
          <w:snapToGrid/>
          <w:color w:val="auto"/>
          <w:kern w:val="2"/>
          <w:sz w:val="24"/>
          <w:szCs w:val="24"/>
          <w:highlight w:val="none"/>
          <w:lang w:eastAsia="zh-CN"/>
        </w:rPr>
        <w:t>评标程序</w:t>
      </w:r>
    </w:p>
    <w:p w14:paraId="032E9A1C">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3.1 基本程序</w:t>
      </w:r>
    </w:p>
    <w:p w14:paraId="7326ED48">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评标活动将按以下</w:t>
      </w:r>
      <w:r>
        <w:rPr>
          <w:rFonts w:hint="eastAsia" w:ascii="宋体" w:hAnsi="宋体" w:eastAsia="宋体" w:cs="Times New Roman"/>
          <w:snapToGrid/>
          <w:color w:val="auto"/>
          <w:kern w:val="2"/>
          <w:sz w:val="21"/>
          <w:szCs w:val="21"/>
          <w:highlight w:val="none"/>
          <w:lang w:val="en-US" w:eastAsia="zh-CN"/>
        </w:rPr>
        <w:t>五</w:t>
      </w:r>
      <w:r>
        <w:rPr>
          <w:rFonts w:hint="eastAsia" w:ascii="宋体" w:hAnsi="宋体" w:eastAsia="宋体" w:cs="Times New Roman"/>
          <w:snapToGrid/>
          <w:color w:val="auto"/>
          <w:kern w:val="2"/>
          <w:sz w:val="21"/>
          <w:szCs w:val="21"/>
          <w:highlight w:val="none"/>
          <w:lang w:eastAsia="zh-CN"/>
        </w:rPr>
        <w:t>个步骤进行：</w:t>
      </w:r>
    </w:p>
    <w:p w14:paraId="7DDEF5E6">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（1）评标准备；</w:t>
      </w:r>
    </w:p>
    <w:p w14:paraId="776EFE7E">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（2）初步评审</w:t>
      </w:r>
    </w:p>
    <w:p w14:paraId="66D35C63">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）详细评审；</w:t>
      </w:r>
    </w:p>
    <w:p w14:paraId="72794D2D">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4</w:t>
      </w:r>
      <w:r>
        <w:rPr>
          <w:rFonts w:hint="eastAsia" w:ascii="宋体" w:hAnsi="宋体" w:eastAsia="宋体" w:cs="Times New Roman"/>
          <w:snapToGrid/>
          <w:color w:val="auto"/>
          <w:kern w:val="2"/>
          <w:sz w:val="21"/>
          <w:szCs w:val="21"/>
          <w:highlight w:val="none"/>
          <w:lang w:eastAsia="zh-CN"/>
        </w:rPr>
        <w:t>）澄清、说明或补正；</w:t>
      </w:r>
    </w:p>
    <w:p w14:paraId="2C9445A7">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5</w:t>
      </w:r>
      <w:r>
        <w:rPr>
          <w:rFonts w:hint="eastAsia" w:ascii="宋体" w:hAnsi="宋体" w:eastAsia="宋体" w:cs="Times New Roman"/>
          <w:snapToGrid/>
          <w:color w:val="auto"/>
          <w:kern w:val="2"/>
          <w:sz w:val="21"/>
          <w:szCs w:val="21"/>
          <w:highlight w:val="none"/>
          <w:lang w:eastAsia="zh-CN"/>
        </w:rPr>
        <w:t>）推荐中标候选人，提交评标报告。</w:t>
      </w:r>
    </w:p>
    <w:p w14:paraId="3F3C96DA">
      <w:pPr>
        <w:keepNext w:val="0"/>
        <w:keepLines w:val="0"/>
        <w:pageBreakBefore w:val="0"/>
        <w:widowControl w:val="0"/>
        <w:kinsoku/>
        <w:wordWrap/>
        <w:overflowPunct/>
        <w:topLinePunct w:val="0"/>
        <w:autoSpaceDE/>
        <w:autoSpaceDN/>
        <w:bidi w:val="0"/>
        <w:spacing w:beforeLines="0" w:afterLines="0" w:line="400" w:lineRule="exact"/>
        <w:ind w:right="0" w:firstLine="360" w:firstLineChars="200"/>
        <w:jc w:val="both"/>
        <w:textAlignment w:val="auto"/>
        <w:rPr>
          <w:rFonts w:hint="eastAsia" w:ascii="Times New Roman" w:hAnsi="Times New Roman" w:eastAsia="宋体" w:cs="Times New Roman"/>
          <w:color w:val="auto"/>
          <w:kern w:val="2"/>
          <w:sz w:val="18"/>
          <w:szCs w:val="21"/>
          <w:highlight w:val="none"/>
          <w:lang w:val="en-US" w:eastAsia="zh-CN" w:bidi="ar-SA"/>
        </w:rPr>
      </w:pPr>
    </w:p>
    <w:p w14:paraId="66650993">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3.2</w:t>
      </w:r>
      <w:r>
        <w:rPr>
          <w:rFonts w:hint="eastAsia" w:ascii="黑体" w:hAnsi="黑体" w:eastAsia="黑体" w:cs="Times New Roman"/>
          <w:b/>
          <w:snapToGrid/>
          <w:color w:val="auto"/>
          <w:kern w:val="2"/>
          <w:sz w:val="21"/>
          <w:szCs w:val="16"/>
          <w:highlight w:val="none"/>
          <w:lang w:val="en-US" w:eastAsia="zh-CN"/>
        </w:rPr>
        <w:t xml:space="preserve"> </w:t>
      </w:r>
      <w:r>
        <w:rPr>
          <w:rFonts w:hint="eastAsia" w:ascii="黑体" w:hAnsi="黑体" w:eastAsia="黑体" w:cs="Times New Roman"/>
          <w:b/>
          <w:snapToGrid/>
          <w:color w:val="auto"/>
          <w:kern w:val="2"/>
          <w:sz w:val="21"/>
          <w:szCs w:val="16"/>
          <w:highlight w:val="none"/>
          <w:lang w:eastAsia="zh-CN"/>
        </w:rPr>
        <w:t>评标准备</w:t>
      </w:r>
    </w:p>
    <w:p w14:paraId="1C972442">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16"/>
          <w:highlight w:val="none"/>
          <w:lang w:eastAsia="zh-CN"/>
        </w:rPr>
      </w:pPr>
      <w:r>
        <w:rPr>
          <w:rFonts w:hint="eastAsia" w:ascii="宋体" w:hAnsi="宋体" w:eastAsia="宋体" w:cs="Times New Roman"/>
          <w:snapToGrid/>
          <w:color w:val="auto"/>
          <w:kern w:val="2"/>
          <w:sz w:val="21"/>
          <w:szCs w:val="16"/>
          <w:highlight w:val="none"/>
          <w:lang w:eastAsia="zh-CN"/>
        </w:rPr>
        <w:t>3.2.1 评标委员会成员签到</w:t>
      </w:r>
    </w:p>
    <w:p w14:paraId="067253A9">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u w:val="single"/>
          <w:lang w:eastAsia="zh-CN"/>
        </w:rPr>
      </w:pPr>
      <w:r>
        <w:rPr>
          <w:rFonts w:hint="eastAsia" w:ascii="宋体" w:hAnsi="宋体" w:eastAsia="宋体" w:cs="Times New Roman"/>
          <w:snapToGrid/>
          <w:color w:val="auto"/>
          <w:kern w:val="2"/>
          <w:sz w:val="21"/>
          <w:szCs w:val="21"/>
          <w:highlight w:val="none"/>
          <w:lang w:eastAsia="zh-CN"/>
        </w:rPr>
        <w:t xml:space="preserve">  评标委员会成员到达评标现场时应在签到表上签到以证明其出席。</w:t>
      </w:r>
    </w:p>
    <w:p w14:paraId="4F2AC5B8">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3.2.2 </w:t>
      </w:r>
      <w:r>
        <w:rPr>
          <w:rFonts w:hint="eastAsia" w:ascii="宋体" w:hAnsi="宋体" w:eastAsia="宋体" w:cs="Times New Roman"/>
          <w:snapToGrid/>
          <w:color w:val="auto"/>
          <w:kern w:val="2"/>
          <w:sz w:val="21"/>
          <w:szCs w:val="16"/>
          <w:highlight w:val="none"/>
          <w:lang w:eastAsia="zh-CN"/>
        </w:rPr>
        <w:t>评标委员会的分工</w:t>
      </w:r>
    </w:p>
    <w:p w14:paraId="58450D93">
      <w:pPr>
        <w:keepNext w:val="0"/>
        <w:keepLines w:val="0"/>
        <w:pageBreakBefore w:val="0"/>
        <w:widowControl w:val="0"/>
        <w:kinsoku/>
        <w:wordWrap/>
        <w:overflowPunct/>
        <w:topLinePunct w:val="0"/>
        <w:autoSpaceDE/>
        <w:autoSpaceDN/>
        <w:bidi w:val="0"/>
        <w:adjustRightInd/>
        <w:snapToGrid/>
        <w:spacing w:beforeLines="0" w:afterLines="0" w:line="400" w:lineRule="exact"/>
        <w:ind w:left="718" w:leftChars="342"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评标委员会首先推选一名评标委员会负责人。评标委员会负责人负责评标活动的组织领导工作。</w:t>
      </w:r>
    </w:p>
    <w:p w14:paraId="73C760FF">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3.2.3</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16"/>
          <w:highlight w:val="none"/>
          <w:lang w:eastAsia="zh-CN"/>
        </w:rPr>
        <w:t>熟悉文件资料</w:t>
      </w:r>
    </w:p>
    <w:p w14:paraId="7025A611">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840" w:hangingChars="4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3.2.3.1</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21"/>
          <w:highlight w:val="none"/>
          <w:lang w:eastAsia="zh-CN"/>
        </w:rPr>
        <w:t>评标委员会负责人应组织评标委员会成员认真研究招标文件，了解和熟悉招标目的、招标范围、主要合同条件、质量标准和工期要求，掌握评标标准和方法。未在招标文件中规定的标准和方法不得作为评标的依据。</w:t>
      </w:r>
    </w:p>
    <w:p w14:paraId="673191FF">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840" w:hangingChars="4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3.2.3.2 招标人或招标代理机构应向评标委员会提供评标所需的信息和数据，包括招标文件、未在开标会上当场拒绝的各投标文件、开标会记录、招标控制价（最高投标限价）、有关的政策文件、国家标准以及评标委员会认为必要的其他信息和数据。但不得明示或者暗示其倾向或者排斥特定投标人。</w:t>
      </w:r>
    </w:p>
    <w:p w14:paraId="74D15343">
      <w:pPr>
        <w:keepNext w:val="0"/>
        <w:keepLines w:val="0"/>
        <w:pageBreakBefore w:val="0"/>
        <w:widowControl w:val="0"/>
        <w:kinsoku/>
        <w:wordWrap/>
        <w:overflowPunct/>
        <w:topLinePunct w:val="0"/>
        <w:autoSpaceDE/>
        <w:autoSpaceDN/>
        <w:bidi w:val="0"/>
        <w:spacing w:beforeLines="0" w:afterLines="0" w:line="400" w:lineRule="exact"/>
        <w:ind w:right="0" w:firstLine="360" w:firstLineChars="200"/>
        <w:jc w:val="both"/>
        <w:textAlignment w:val="auto"/>
        <w:rPr>
          <w:rFonts w:hint="eastAsia" w:ascii="Times New Roman" w:hAnsi="Times New Roman" w:eastAsia="宋体" w:cs="Times New Roman"/>
          <w:color w:val="auto"/>
          <w:kern w:val="2"/>
          <w:sz w:val="18"/>
          <w:szCs w:val="21"/>
          <w:highlight w:val="none"/>
          <w:lang w:val="en-US" w:eastAsia="zh-CN" w:bidi="ar-SA"/>
        </w:rPr>
      </w:pPr>
    </w:p>
    <w:p w14:paraId="38C02173">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w:t>
      </w:r>
      <w:r>
        <w:rPr>
          <w:rFonts w:hint="eastAsia" w:ascii="黑体" w:hAnsi="黑体" w:eastAsia="黑体" w:cs="Times New Roman"/>
          <w:b/>
          <w:snapToGrid/>
          <w:color w:val="auto"/>
          <w:kern w:val="2"/>
          <w:sz w:val="21"/>
          <w:szCs w:val="16"/>
          <w:highlight w:val="none"/>
          <w:lang w:val="en-US" w:eastAsia="zh-CN"/>
        </w:rPr>
        <w:t xml:space="preserve">3 </w:t>
      </w:r>
      <w:r>
        <w:rPr>
          <w:rFonts w:hint="eastAsia" w:ascii="黑体" w:hAnsi="黑体" w:eastAsia="黑体" w:cs="Times New Roman"/>
          <w:b/>
          <w:snapToGrid/>
          <w:color w:val="auto"/>
          <w:kern w:val="2"/>
          <w:sz w:val="21"/>
          <w:szCs w:val="16"/>
          <w:highlight w:val="none"/>
          <w:lang w:eastAsia="zh-CN"/>
        </w:rPr>
        <w:t>初步评审</w:t>
      </w:r>
    </w:p>
    <w:p w14:paraId="6AAD0EA3">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16"/>
          <w:highlight w:val="none"/>
          <w:lang w:eastAsia="zh-CN"/>
        </w:rPr>
      </w:pPr>
      <w:r>
        <w:rPr>
          <w:rFonts w:hint="eastAsia" w:ascii="宋体" w:hAnsi="宋体" w:eastAsia="宋体" w:cs="Times New Roman"/>
          <w:snapToGrid/>
          <w:color w:val="auto"/>
          <w:kern w:val="2"/>
          <w:sz w:val="21"/>
          <w:szCs w:val="16"/>
          <w:highlight w:val="none"/>
          <w:lang w:eastAsia="zh-CN"/>
        </w:rPr>
        <w:t>评标委员会依据本章第2.1款规定的标准对投标文件进行初步评审。有一项不符合评审标准</w:t>
      </w:r>
      <w:r>
        <w:rPr>
          <w:rFonts w:hint="eastAsia" w:ascii="宋体" w:hAnsi="宋体" w:eastAsia="宋体" w:cs="Times New Roman"/>
          <w:snapToGrid/>
          <w:color w:val="auto"/>
          <w:kern w:val="2"/>
          <w:sz w:val="21"/>
          <w:szCs w:val="21"/>
          <w:highlight w:val="none"/>
          <w:lang w:val="en-US" w:eastAsia="zh-CN"/>
        </w:rPr>
        <w:t>以及</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bCs/>
          <w:snapToGrid/>
          <w:color w:val="auto"/>
          <w:kern w:val="2"/>
          <w:sz w:val="21"/>
          <w:szCs w:val="21"/>
          <w:highlight w:val="none"/>
          <w:lang w:eastAsia="zh-CN"/>
        </w:rPr>
        <w:t>投标文件否决性条款摘要》</w:t>
      </w:r>
      <w:r>
        <w:rPr>
          <w:rFonts w:hint="eastAsia" w:ascii="宋体" w:hAnsi="宋体" w:eastAsia="宋体" w:cs="Times New Roman"/>
          <w:snapToGrid/>
          <w:color w:val="auto"/>
          <w:kern w:val="2"/>
          <w:sz w:val="21"/>
          <w:szCs w:val="21"/>
          <w:highlight w:val="none"/>
          <w:lang w:eastAsia="zh-CN"/>
        </w:rPr>
        <w:t>中集中列示</w:t>
      </w:r>
      <w:r>
        <w:rPr>
          <w:rFonts w:hint="eastAsia" w:ascii="宋体" w:hAnsi="宋体" w:eastAsia="宋体" w:cs="Times New Roman"/>
          <w:snapToGrid/>
          <w:color w:val="auto"/>
          <w:kern w:val="2"/>
          <w:sz w:val="21"/>
          <w:szCs w:val="16"/>
          <w:highlight w:val="none"/>
          <w:lang w:val="en-US" w:eastAsia="zh-CN"/>
        </w:rPr>
        <w:t>情形</w:t>
      </w:r>
      <w:r>
        <w:rPr>
          <w:rFonts w:hint="eastAsia" w:ascii="宋体" w:hAnsi="宋体" w:eastAsia="宋体" w:cs="Times New Roman"/>
          <w:snapToGrid/>
          <w:color w:val="auto"/>
          <w:kern w:val="2"/>
          <w:sz w:val="21"/>
          <w:szCs w:val="16"/>
          <w:highlight w:val="none"/>
          <w:lang w:eastAsia="zh-CN"/>
        </w:rPr>
        <w:t>的，评标委员会应当否决其投标。</w:t>
      </w:r>
    </w:p>
    <w:p w14:paraId="270457CD">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.1</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21"/>
          <w:highlight w:val="none"/>
          <w:lang w:eastAsia="zh-CN"/>
        </w:rPr>
        <w:t>形式评审</w:t>
      </w:r>
    </w:p>
    <w:p w14:paraId="60B9C0DD">
      <w:pPr>
        <w:keepNext w:val="0"/>
        <w:keepLines w:val="0"/>
        <w:pageBreakBefore w:val="0"/>
        <w:widowControl w:val="0"/>
        <w:kinsoku/>
        <w:wordWrap/>
        <w:overflowPunct/>
        <w:topLinePunct w:val="0"/>
        <w:autoSpaceDE/>
        <w:autoSpaceDN/>
        <w:bidi w:val="0"/>
        <w:adjustRightInd/>
        <w:snapToGrid/>
        <w:spacing w:beforeLines="0" w:afterLines="0" w:line="400" w:lineRule="exact"/>
        <w:ind w:left="718" w:leftChars="342" w:right="0" w:firstLine="0" w:firstLineChars="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评标委员会根据评标办法前附表中规定的评审因素和评审标准，对投标人的投标文件进行形式评审。</w:t>
      </w:r>
    </w:p>
    <w:p w14:paraId="7F4C27CA">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.2 资格评审</w:t>
      </w:r>
    </w:p>
    <w:p w14:paraId="62B18AFE">
      <w:pPr>
        <w:keepNext w:val="0"/>
        <w:keepLines w:val="0"/>
        <w:pageBreakBefore w:val="0"/>
        <w:widowControl w:val="0"/>
        <w:kinsoku/>
        <w:wordWrap/>
        <w:overflowPunct/>
        <w:topLinePunct w:val="0"/>
        <w:autoSpaceDE/>
        <w:autoSpaceDN/>
        <w:bidi w:val="0"/>
        <w:adjustRightInd/>
        <w:snapToGrid/>
        <w:spacing w:beforeLines="0" w:afterLines="0" w:line="400" w:lineRule="exact"/>
        <w:ind w:left="718" w:leftChars="342" w:right="0" w:firstLine="0" w:firstLineChars="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评标委员会根据评标办法前附表中的规定的评审因素和评审标准，对投标人的投标文件进行资格评审。</w:t>
      </w:r>
    </w:p>
    <w:p w14:paraId="2894D9CA">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.3 响应性评审</w:t>
      </w:r>
    </w:p>
    <w:p w14:paraId="6343B940">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840" w:hangingChars="4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w:t>
      </w:r>
      <w:r>
        <w:rPr>
          <w:rFonts w:ascii="宋体" w:hAnsi="宋体" w:eastAsia="宋体" w:cs="Times New Roman"/>
          <w:snapToGrid/>
          <w:color w:val="auto"/>
          <w:kern w:val="2"/>
          <w:sz w:val="21"/>
          <w:szCs w:val="21"/>
          <w:highlight w:val="none"/>
          <w:lang w:eastAsia="zh-CN"/>
        </w:rPr>
        <w:t>3.1</w:t>
      </w:r>
      <w:r>
        <w:rPr>
          <w:rFonts w:hint="eastAsia" w:ascii="宋体" w:hAnsi="宋体" w:eastAsia="宋体" w:cs="Times New Roman"/>
          <w:snapToGrid/>
          <w:color w:val="auto"/>
          <w:kern w:val="2"/>
          <w:sz w:val="21"/>
          <w:szCs w:val="21"/>
          <w:highlight w:val="none"/>
          <w:lang w:eastAsia="zh-CN"/>
        </w:rPr>
        <w:t xml:space="preserve"> 评标委员会根据评标办法前附表中规定的评审因素和评审标准，对投标人的投标文件进行响应性评审。</w:t>
      </w:r>
    </w:p>
    <w:p w14:paraId="73808357">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840" w:hangingChars="4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ascii="宋体" w:hAnsi="宋体" w:eastAsia="宋体" w:cs="Times New Roman"/>
          <w:snapToGrid/>
          <w:color w:val="auto"/>
          <w:kern w:val="2"/>
          <w:sz w:val="21"/>
          <w:szCs w:val="21"/>
          <w:highlight w:val="none"/>
          <w:lang w:eastAsia="zh-CN"/>
        </w:rPr>
        <w:t>.3.2</w:t>
      </w:r>
      <w:r>
        <w:rPr>
          <w:rFonts w:hint="eastAsia" w:ascii="宋体" w:hAnsi="宋体" w:eastAsia="宋体" w:cs="Times New Roman"/>
          <w:snapToGrid/>
          <w:color w:val="auto"/>
          <w:kern w:val="2"/>
          <w:sz w:val="21"/>
          <w:szCs w:val="21"/>
          <w:highlight w:val="none"/>
          <w:lang w:eastAsia="zh-CN"/>
        </w:rPr>
        <w:t xml:space="preserve"> 投标人投标价格不得超出（不含等于）按照第</w:t>
      </w:r>
      <w:r>
        <w:rPr>
          <w:rFonts w:hint="eastAsia" w:ascii="宋体" w:hAnsi="宋体" w:eastAsia="宋体" w:cs="Times New Roman"/>
          <w:snapToGrid/>
          <w:color w:val="auto"/>
          <w:kern w:val="2"/>
          <w:sz w:val="21"/>
          <w:szCs w:val="21"/>
          <w:highlight w:val="none"/>
          <w:lang w:val="en-US" w:eastAsia="zh-CN"/>
        </w:rPr>
        <w:t>三</w:t>
      </w:r>
      <w:r>
        <w:rPr>
          <w:rFonts w:hint="eastAsia" w:ascii="宋体" w:hAnsi="宋体" w:eastAsia="宋体" w:cs="Times New Roman"/>
          <w:snapToGrid/>
          <w:color w:val="auto"/>
          <w:kern w:val="2"/>
          <w:sz w:val="21"/>
          <w:szCs w:val="21"/>
          <w:highlight w:val="none"/>
          <w:lang w:eastAsia="zh-CN"/>
        </w:rPr>
        <w:t>章“投标人须知”前附表载明的招标控制价（最高投标限价），凡投标人的投标价格超出招标控制价（最高投标限价）的，该投标人的投标文件不能通过响应性评审。</w:t>
      </w:r>
    </w:p>
    <w:p w14:paraId="0C7C8385">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4</w:t>
      </w:r>
      <w:r>
        <w:rPr>
          <w:rFonts w:hint="eastAsia" w:ascii="宋体" w:hAnsi="宋体" w:eastAsia="宋体" w:cs="Times New Roman"/>
          <w:snapToGrid/>
          <w:color w:val="auto"/>
          <w:kern w:val="2"/>
          <w:sz w:val="21"/>
          <w:szCs w:val="21"/>
          <w:highlight w:val="none"/>
          <w:lang w:eastAsia="zh-CN"/>
        </w:rPr>
        <w:t xml:space="preserve"> 算术错误修正</w:t>
      </w:r>
    </w:p>
    <w:p w14:paraId="6ED1B625">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21"/>
          <w:highlight w:val="none"/>
          <w:lang w:eastAsia="zh-CN"/>
        </w:rPr>
        <w:t>投标报价有算术错误的，评标委员会按以下原则对投标报价进行修正，修正的价格经投标人书面确认后具有约束力。投标人不接受修正价格的，评标委员会应否决其投标。</w:t>
      </w:r>
    </w:p>
    <w:p w14:paraId="06225D2F">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（1）投标文件中的大写金额与小写金额不一致的，以大写金额为准；</w:t>
      </w:r>
    </w:p>
    <w:p w14:paraId="457B34F3">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21"/>
          <w:highlight w:val="none"/>
          <w:lang w:eastAsia="zh-CN"/>
        </w:rPr>
        <w:t>（2）总价金额与依据单价（或费率或折率）计算出的结果不一致的，以单价金额（或费率或折率）为准修正总价，但单价金额（或费率或折率）小数点有明显错误的除外；如果单价金额（或费率或折率）小数点有明显错误，应以总价为准修正单价（或费率或折率）</w:t>
      </w:r>
      <w:r>
        <w:rPr>
          <w:rFonts w:hint="eastAsia" w:ascii="宋体" w:hAnsi="宋体" w:eastAsia="宋体" w:cs="宋体"/>
          <w:snapToGrid/>
          <w:color w:val="auto"/>
          <w:kern w:val="2"/>
          <w:sz w:val="21"/>
          <w:szCs w:val="21"/>
          <w:highlight w:val="none"/>
          <w:lang w:eastAsia="zh-CN"/>
        </w:rPr>
        <w:t>。</w:t>
      </w:r>
    </w:p>
    <w:p w14:paraId="42EADBA1">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firstLine="0" w:firstLineChars="0"/>
        <w:jc w:val="both"/>
        <w:textAlignment w:val="auto"/>
        <w:rPr>
          <w:rFonts w:hint="eastAsia" w:ascii="宋体" w:hAnsi="宋体" w:eastAsia="宋体" w:cs="Times New Roman"/>
          <w:snapToGrid/>
          <w:color w:val="auto"/>
          <w:kern w:val="2"/>
          <w:sz w:val="21"/>
          <w:szCs w:val="21"/>
          <w:highlight w:val="none"/>
          <w:lang w:eastAsia="zh-CN"/>
        </w:rPr>
      </w:pPr>
    </w:p>
    <w:p w14:paraId="34559C16">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w:t>
      </w:r>
      <w:r>
        <w:rPr>
          <w:rFonts w:hint="eastAsia" w:ascii="黑体" w:hAnsi="黑体" w:eastAsia="黑体" w:cs="Times New Roman"/>
          <w:b/>
          <w:snapToGrid/>
          <w:color w:val="auto"/>
          <w:kern w:val="2"/>
          <w:sz w:val="21"/>
          <w:szCs w:val="16"/>
          <w:highlight w:val="none"/>
          <w:lang w:val="en-US" w:eastAsia="zh-CN"/>
        </w:rPr>
        <w:t xml:space="preserve">4 </w:t>
      </w:r>
      <w:r>
        <w:rPr>
          <w:rFonts w:hint="eastAsia" w:ascii="黑体" w:hAnsi="黑体" w:eastAsia="黑体" w:cs="Times New Roman"/>
          <w:b/>
          <w:snapToGrid/>
          <w:color w:val="auto"/>
          <w:kern w:val="2"/>
          <w:sz w:val="21"/>
          <w:szCs w:val="16"/>
          <w:highlight w:val="none"/>
          <w:lang w:eastAsia="zh-CN"/>
        </w:rPr>
        <w:t>详细评审</w:t>
      </w:r>
    </w:p>
    <w:p w14:paraId="58238BA5">
      <w:pPr>
        <w:keepNext w:val="0"/>
        <w:keepLines w:val="0"/>
        <w:pageBreakBefore w:val="0"/>
        <w:widowControl w:val="0"/>
        <w:kinsoku/>
        <w:wordWrap/>
        <w:overflowPunct/>
        <w:topLinePunct w:val="0"/>
        <w:autoSpaceDE/>
        <w:autoSpaceDN/>
        <w:bidi w:val="0"/>
        <w:adjustRightInd/>
        <w:snapToGrid/>
        <w:spacing w:beforeLines="0" w:afterLines="0" w:line="400" w:lineRule="exact"/>
        <w:ind w:left="689" w:leftChars="228" w:right="0" w:hanging="210" w:hangingChars="100"/>
        <w:jc w:val="both"/>
        <w:textAlignment w:val="auto"/>
        <w:rPr>
          <w:rFonts w:hint="eastAsia" w:ascii="Times New Roman" w:hAnsi="Times New Roman" w:eastAsia="宋体" w:cs="Times New Roman"/>
          <w:snapToGrid/>
          <w:color w:val="auto"/>
          <w:kern w:val="2"/>
          <w:sz w:val="18"/>
          <w:szCs w:val="21"/>
          <w:highlight w:val="none"/>
          <w:lang w:eastAsia="zh-CN"/>
        </w:rPr>
      </w:pPr>
      <w:r>
        <w:rPr>
          <w:rFonts w:hint="eastAsia" w:ascii="宋体" w:hAnsi="宋体" w:eastAsia="宋体" w:cs="Times New Roman"/>
          <w:snapToGrid/>
          <w:color w:val="auto"/>
          <w:kern w:val="2"/>
          <w:sz w:val="21"/>
          <w:szCs w:val="21"/>
          <w:highlight w:val="none"/>
          <w:lang w:eastAsia="zh-CN"/>
        </w:rPr>
        <w:t>只有通过了</w:t>
      </w:r>
      <w:r>
        <w:rPr>
          <w:rFonts w:hint="eastAsia" w:ascii="宋体" w:hAnsi="宋体" w:eastAsia="宋体" w:cs="Times New Roman"/>
          <w:snapToGrid/>
          <w:color w:val="auto"/>
          <w:kern w:val="2"/>
          <w:sz w:val="21"/>
          <w:szCs w:val="21"/>
          <w:highlight w:val="none"/>
          <w:lang w:val="en-US" w:eastAsia="zh-CN"/>
        </w:rPr>
        <w:t>初步评审、</w:t>
      </w:r>
      <w:r>
        <w:rPr>
          <w:rFonts w:hint="eastAsia" w:ascii="宋体" w:hAnsi="宋体" w:eastAsia="宋体" w:cs="Times New Roman"/>
          <w:snapToGrid/>
          <w:color w:val="auto"/>
          <w:kern w:val="2"/>
          <w:sz w:val="21"/>
          <w:szCs w:val="21"/>
          <w:highlight w:val="none"/>
          <w:lang w:eastAsia="zh-CN"/>
        </w:rPr>
        <w:t>被判定为合格的投标</w:t>
      </w:r>
      <w:r>
        <w:rPr>
          <w:rFonts w:hint="eastAsia" w:ascii="宋体" w:hAnsi="宋体" w:eastAsia="宋体" w:cs="Times New Roman"/>
          <w:snapToGrid/>
          <w:color w:val="auto"/>
          <w:kern w:val="2"/>
          <w:sz w:val="21"/>
          <w:szCs w:val="21"/>
          <w:highlight w:val="none"/>
          <w:lang w:val="en-US" w:eastAsia="zh-CN"/>
        </w:rPr>
        <w:t>人</w:t>
      </w:r>
      <w:r>
        <w:rPr>
          <w:rFonts w:hint="eastAsia" w:ascii="宋体" w:hAnsi="宋体" w:eastAsia="宋体" w:cs="Times New Roman"/>
          <w:snapToGrid/>
          <w:color w:val="auto"/>
          <w:kern w:val="2"/>
          <w:sz w:val="21"/>
          <w:szCs w:val="21"/>
          <w:highlight w:val="none"/>
          <w:lang w:eastAsia="zh-CN"/>
        </w:rPr>
        <w:t>可进入详细评审。</w:t>
      </w:r>
    </w:p>
    <w:p w14:paraId="5E0BF534">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0" w:right="0" w:hanging="630" w:hangingChars="300"/>
        <w:jc w:val="both"/>
        <w:textAlignment w:val="auto"/>
        <w:rPr>
          <w:rFonts w:hint="eastAsia" w:ascii="宋体" w:hAnsi="宋体" w:eastAsia="宋体" w:cs="Times New Roman"/>
          <w:snapToGrid/>
          <w:color w:val="auto"/>
          <w:kern w:val="2"/>
          <w:sz w:val="21"/>
          <w:szCs w:val="21"/>
          <w:highlight w:val="none"/>
          <w:lang w:val="en-US"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4</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1 确定评审区间（适用于简易评标法和信价量化评标法）</w:t>
      </w:r>
    </w:p>
    <w:p w14:paraId="19104E8E">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200" w:right="0" w:hanging="210" w:hangingChars="100"/>
        <w:jc w:val="both"/>
        <w:textAlignment w:val="auto"/>
        <w:rPr>
          <w:rFonts w:hint="eastAsia" w:ascii="宋体" w:hAnsi="宋体" w:eastAsia="宋体" w:cs="Times New Roman"/>
          <w:snapToGrid/>
          <w:color w:val="auto"/>
          <w:kern w:val="2"/>
          <w:sz w:val="21"/>
          <w:szCs w:val="21"/>
          <w:highlight w:val="none"/>
          <w:lang w:val="en-US" w:eastAsia="zh-CN"/>
        </w:rPr>
      </w:pPr>
      <w:r>
        <w:rPr>
          <w:rFonts w:hint="eastAsia" w:ascii="宋体" w:hAnsi="宋体" w:eastAsia="宋体" w:cs="Times New Roman"/>
          <w:snapToGrid/>
          <w:color w:val="auto"/>
          <w:kern w:val="2"/>
          <w:sz w:val="21"/>
          <w:szCs w:val="21"/>
          <w:highlight w:val="none"/>
          <w:lang w:val="en-US" w:eastAsia="zh-CN"/>
        </w:rPr>
        <w:t>评标委员会根据评标办法前附表中规定的内容和要求确定评审区间。</w:t>
      </w:r>
    </w:p>
    <w:p w14:paraId="02FB0F10">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200" w:right="0" w:hanging="210" w:hangingChars="100"/>
        <w:jc w:val="both"/>
        <w:textAlignment w:val="auto"/>
        <w:rPr>
          <w:rFonts w:hint="eastAsia" w:ascii="宋体" w:hAnsi="宋体" w:eastAsia="宋体" w:cs="Times New Roman"/>
          <w:snapToGrid/>
          <w:color w:val="auto"/>
          <w:kern w:val="2"/>
          <w:sz w:val="21"/>
          <w:szCs w:val="21"/>
          <w:highlight w:val="none"/>
          <w:lang w:val="en-US" w:eastAsia="zh-CN"/>
        </w:rPr>
      </w:pPr>
      <w:r>
        <w:rPr>
          <w:rFonts w:hint="eastAsia" w:ascii="宋体" w:hAnsi="宋体" w:eastAsia="宋体" w:cs="Times New Roman"/>
          <w:snapToGrid/>
          <w:color w:val="auto"/>
          <w:kern w:val="2"/>
          <w:sz w:val="21"/>
          <w:szCs w:val="21"/>
          <w:highlight w:val="none"/>
          <w:lang w:val="en-US" w:eastAsia="zh-CN"/>
        </w:rPr>
        <w:t xml:space="preserve">1.通过初步评审的投标人≤15 个的，所有投标人进入评审区间； </w:t>
      </w:r>
    </w:p>
    <w:p w14:paraId="49850671">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firstLine="420" w:firstLineChars="200"/>
        <w:jc w:val="both"/>
        <w:textAlignment w:val="auto"/>
        <w:rPr>
          <w:rFonts w:hint="eastAsia" w:ascii="宋体" w:hAnsi="宋体" w:eastAsia="宋体" w:cs="Times New Roman"/>
          <w:snapToGrid/>
          <w:color w:val="auto"/>
          <w:kern w:val="2"/>
          <w:sz w:val="21"/>
          <w:szCs w:val="21"/>
          <w:highlight w:val="none"/>
          <w:lang w:val="en-US" w:eastAsia="zh-CN"/>
        </w:rPr>
      </w:pPr>
      <w:r>
        <w:rPr>
          <w:rFonts w:hint="eastAsia" w:ascii="宋体" w:hAnsi="宋体" w:eastAsia="宋体" w:cs="Times New Roman"/>
          <w:snapToGrid/>
          <w:color w:val="auto"/>
          <w:kern w:val="2"/>
          <w:sz w:val="21"/>
          <w:szCs w:val="21"/>
          <w:highlight w:val="none"/>
          <w:lang w:val="en-US" w:eastAsia="zh-CN"/>
        </w:rPr>
        <w:t>2.通过初步评审的投标人＞15 个的，投标人有 N 个，按照投标报价由高到低进行排序，淘汰报价排序前（N-15)×2/3 个，以及报价排序靠后（N-15)×1/3 个投标人，剩余 15 个投标人进入评审区间，计算四舍五入取整数。</w:t>
      </w:r>
    </w:p>
    <w:p w14:paraId="2B7EEA30">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200" w:right="0" w:hanging="210" w:hangingChars="100"/>
        <w:jc w:val="both"/>
        <w:textAlignment w:val="auto"/>
        <w:rPr>
          <w:rFonts w:hint="eastAsia" w:ascii="Times New Roman" w:hAnsi="Times New Roman" w:eastAsia="宋体" w:cs="Times New Roman"/>
          <w:snapToGrid/>
          <w:color w:val="auto"/>
          <w:kern w:val="2"/>
          <w:sz w:val="18"/>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4</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超过半数的评标委员会成员认为投标人的报价可能低于其成本的，评标委员会应当要求该投标人在指定时间内书面说明，并提供相关证明材料。投标人拒绝书面说明、不能提供相关证明材料或者理由不充分的，评标委员会应当认定该投标人以低于成本报价竞标，否决其投标。</w:t>
      </w:r>
    </w:p>
    <w:p w14:paraId="11CF428B">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hint="default" w:ascii="宋体" w:hAnsi="宋体" w:eastAsia="宋体" w:cs="Times New Roman"/>
          <w:b/>
          <w:bCs/>
          <w:snapToGrid/>
          <w:color w:val="auto"/>
          <w:kern w:val="2"/>
          <w:sz w:val="21"/>
          <w:szCs w:val="21"/>
          <w:highlight w:val="none"/>
          <w:lang w:val="en-US"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4</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 xml:space="preserve"> 汇总经济标的综合得分。</w:t>
      </w:r>
    </w:p>
    <w:p w14:paraId="13D77C32">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p>
    <w:p w14:paraId="19566FB4">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w:t>
      </w:r>
      <w:r>
        <w:rPr>
          <w:rFonts w:hint="eastAsia" w:ascii="黑体" w:hAnsi="黑体" w:eastAsia="黑体" w:cs="Times New Roman"/>
          <w:b/>
          <w:snapToGrid/>
          <w:color w:val="auto"/>
          <w:kern w:val="2"/>
          <w:sz w:val="21"/>
          <w:szCs w:val="16"/>
          <w:highlight w:val="none"/>
          <w:lang w:val="en-US" w:eastAsia="zh-CN"/>
        </w:rPr>
        <w:t>5</w:t>
      </w:r>
      <w:r>
        <w:rPr>
          <w:rFonts w:hint="eastAsia" w:ascii="黑体" w:hAnsi="黑体" w:eastAsia="黑体" w:cs="Times New Roman"/>
          <w:b/>
          <w:snapToGrid/>
          <w:color w:val="auto"/>
          <w:kern w:val="2"/>
          <w:sz w:val="21"/>
          <w:szCs w:val="16"/>
          <w:highlight w:val="none"/>
          <w:lang w:eastAsia="zh-CN"/>
        </w:rPr>
        <w:t xml:space="preserve"> 推荐中标候选人</w:t>
      </w:r>
    </w:p>
    <w:p w14:paraId="40C262BB">
      <w:pPr>
        <w:keepNext w:val="0"/>
        <w:keepLines w:val="0"/>
        <w:pageBreakBefore w:val="0"/>
        <w:widowControl w:val="0"/>
        <w:kinsoku/>
        <w:wordWrap/>
        <w:overflowPunct/>
        <w:topLinePunct w:val="0"/>
        <w:autoSpaceDE/>
        <w:autoSpaceDN/>
        <w:bidi w:val="0"/>
        <w:adjustRightInd/>
        <w:snapToGrid/>
        <w:spacing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☑评标委员会对满足招标文件实质要求的投标文件，按照详细评审最终得分由高至低的次序对投标人进行排序，推荐中标候选人。</w:t>
      </w:r>
      <w:r>
        <w:rPr>
          <w:rFonts w:hint="eastAsia" w:ascii="宋体" w:hAnsi="宋体" w:eastAsia="宋体"/>
          <w:color w:val="auto"/>
          <w:sz w:val="21"/>
          <w:szCs w:val="21"/>
          <w:highlight w:val="none"/>
          <w:lang w:val="en-US" w:eastAsia="zh-CN"/>
        </w:rPr>
        <w:t>因本项目采用“简易评标法”评标，只对经济标进行评审，若存在投标单位经济标报价相同且并列第一的情况，则须在交易中心工作人员的见证下，由招标人以摇珠的方式确定一家中标候选人。</w:t>
      </w:r>
      <w:r>
        <w:rPr>
          <w:rFonts w:hint="eastAsia" w:ascii="宋体" w:hAnsi="宋体" w:eastAsia="宋体" w:cs="Times New Roman"/>
          <w:b/>
          <w:bCs/>
          <w:snapToGrid/>
          <w:color w:val="auto"/>
          <w:kern w:val="2"/>
          <w:sz w:val="21"/>
          <w:szCs w:val="21"/>
          <w:highlight w:val="none"/>
          <w:lang w:eastAsia="zh-CN"/>
        </w:rPr>
        <w:t>（适用于</w:t>
      </w:r>
      <w:r>
        <w:rPr>
          <w:rFonts w:hint="eastAsia" w:ascii="宋体" w:hAnsi="宋体" w:eastAsia="宋体" w:cs="Times New Roman"/>
          <w:b/>
          <w:bCs/>
          <w:snapToGrid/>
          <w:color w:val="auto"/>
          <w:kern w:val="2"/>
          <w:sz w:val="21"/>
          <w:szCs w:val="21"/>
          <w:highlight w:val="none"/>
          <w:lang w:val="en-US" w:eastAsia="zh-CN"/>
        </w:rPr>
        <w:t>简易评标</w:t>
      </w:r>
      <w:r>
        <w:rPr>
          <w:rFonts w:hint="eastAsia" w:ascii="宋体" w:hAnsi="宋体" w:eastAsia="宋体" w:cs="Times New Roman"/>
          <w:b/>
          <w:bCs/>
          <w:snapToGrid/>
          <w:color w:val="auto"/>
          <w:kern w:val="2"/>
          <w:sz w:val="21"/>
          <w:szCs w:val="21"/>
          <w:highlight w:val="none"/>
          <w:lang w:eastAsia="zh-CN"/>
        </w:rPr>
        <w:t>法）</w:t>
      </w:r>
    </w:p>
    <w:p w14:paraId="11045A0C">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p>
    <w:p w14:paraId="23006B7E">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w:t>
      </w:r>
      <w:r>
        <w:rPr>
          <w:rFonts w:hint="eastAsia" w:ascii="黑体" w:hAnsi="黑体" w:eastAsia="黑体" w:cs="Times New Roman"/>
          <w:b/>
          <w:snapToGrid/>
          <w:color w:val="auto"/>
          <w:kern w:val="2"/>
          <w:sz w:val="21"/>
          <w:szCs w:val="16"/>
          <w:highlight w:val="none"/>
          <w:lang w:val="en-US" w:eastAsia="zh-CN"/>
        </w:rPr>
        <w:t xml:space="preserve">6 </w:t>
      </w:r>
      <w:r>
        <w:rPr>
          <w:rFonts w:hint="eastAsia" w:ascii="黑体" w:hAnsi="黑体" w:eastAsia="黑体" w:cs="Times New Roman"/>
          <w:b/>
          <w:snapToGrid/>
          <w:color w:val="auto"/>
          <w:kern w:val="2"/>
          <w:sz w:val="21"/>
          <w:szCs w:val="16"/>
          <w:highlight w:val="none"/>
          <w:lang w:eastAsia="zh-CN"/>
        </w:rPr>
        <w:t>编制并提交评标报告</w:t>
      </w:r>
    </w:p>
    <w:p w14:paraId="05A3D0E3">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0" w:leftChars="0"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评标委员会</w:t>
      </w:r>
      <w:r>
        <w:rPr>
          <w:rFonts w:hint="eastAsia" w:ascii="宋体" w:hAnsi="宋体" w:eastAsia="宋体" w:cs="宋体"/>
          <w:snapToGrid/>
          <w:color w:val="auto"/>
          <w:kern w:val="2"/>
          <w:sz w:val="21"/>
          <w:szCs w:val="21"/>
          <w:highlight w:val="none"/>
          <w:lang w:eastAsia="zh-CN"/>
        </w:rPr>
        <w:t>在评审结束后</w:t>
      </w:r>
      <w:r>
        <w:rPr>
          <w:rFonts w:hint="eastAsia" w:ascii="宋体" w:hAnsi="宋体" w:eastAsia="宋体" w:cs="Times New Roman"/>
          <w:snapToGrid/>
          <w:color w:val="auto"/>
          <w:kern w:val="2"/>
          <w:sz w:val="21"/>
          <w:szCs w:val="21"/>
          <w:highlight w:val="none"/>
          <w:lang w:eastAsia="zh-CN"/>
        </w:rPr>
        <w:t>向招标人提交评标报告。评标报告应当由全体评标委员会成员签字。评标报告应当包括以下内容：</w:t>
      </w:r>
    </w:p>
    <w:p w14:paraId="09E6D345">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（1）基本情况和数据表；</w:t>
      </w:r>
    </w:p>
    <w:p w14:paraId="3CC9A031">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（2）评标委员会成员名单；</w:t>
      </w:r>
    </w:p>
    <w:p w14:paraId="62C54410">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（3）开标记录；</w:t>
      </w:r>
    </w:p>
    <w:p w14:paraId="28EE34D8">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（4）各环节评审结果；</w:t>
      </w:r>
    </w:p>
    <w:p w14:paraId="1E13AD54">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（5）否决投标情况说明；</w:t>
      </w:r>
    </w:p>
    <w:p w14:paraId="626E055A">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（6）评标委员会在评标过程中所形成的所有记载评标结果、结论的表格、说明、记录等文件；</w:t>
      </w:r>
    </w:p>
    <w:p w14:paraId="4149C227">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（7）经评审的投标人排序； </w:t>
      </w:r>
    </w:p>
    <w:p w14:paraId="313CBE74">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（8）推荐的中标候选人名单； </w:t>
      </w:r>
    </w:p>
    <w:p w14:paraId="4E080FC7">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（9）其他需要说明的情况。</w:t>
      </w:r>
    </w:p>
    <w:p w14:paraId="771211B2">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right="0"/>
        <w:jc w:val="both"/>
        <w:textAlignment w:val="auto"/>
        <w:outlineLvl w:val="9"/>
        <w:rPr>
          <w:rFonts w:hint="eastAsia" w:ascii="宋体" w:hAnsi="宋体" w:eastAsia="宋体" w:cs="Times New Roman"/>
          <w:b/>
          <w:snapToGrid/>
          <w:color w:val="auto"/>
          <w:kern w:val="2"/>
          <w:sz w:val="21"/>
          <w:szCs w:val="21"/>
          <w:highlight w:val="none"/>
          <w:lang w:eastAsia="zh-CN"/>
        </w:rPr>
      </w:pPr>
    </w:p>
    <w:p w14:paraId="6B0C59F6">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b/>
          <w:bCs/>
          <w:snapToGrid/>
          <w:color w:val="auto"/>
          <w:kern w:val="2"/>
          <w:sz w:val="24"/>
          <w:szCs w:val="24"/>
          <w:highlight w:val="none"/>
          <w:lang w:eastAsia="zh-CN"/>
        </w:rPr>
      </w:pPr>
      <w:r>
        <w:rPr>
          <w:rFonts w:hint="eastAsia" w:ascii="宋体" w:hAnsi="宋体" w:eastAsia="宋体" w:cs="Times New Roman"/>
          <w:b/>
          <w:bCs/>
          <w:snapToGrid/>
          <w:color w:val="auto"/>
          <w:kern w:val="2"/>
          <w:sz w:val="24"/>
          <w:szCs w:val="24"/>
          <w:highlight w:val="none"/>
          <w:lang w:eastAsia="zh-CN"/>
        </w:rPr>
        <w:t>4</w:t>
      </w:r>
      <w:r>
        <w:rPr>
          <w:rFonts w:hint="eastAsia" w:ascii="宋体" w:hAnsi="宋体" w:eastAsia="宋体" w:cs="Times New Roman"/>
          <w:b/>
          <w:bCs/>
          <w:snapToGrid/>
          <w:color w:val="auto"/>
          <w:kern w:val="2"/>
          <w:sz w:val="24"/>
          <w:szCs w:val="24"/>
          <w:highlight w:val="none"/>
          <w:lang w:val="en-US" w:eastAsia="zh-CN"/>
        </w:rPr>
        <w:t>.</w:t>
      </w:r>
      <w:r>
        <w:rPr>
          <w:rFonts w:hint="eastAsia" w:ascii="宋体" w:hAnsi="宋体" w:eastAsia="宋体" w:cs="Times New Roman"/>
          <w:b/>
          <w:bCs/>
          <w:snapToGrid/>
          <w:color w:val="auto"/>
          <w:kern w:val="2"/>
          <w:sz w:val="24"/>
          <w:szCs w:val="24"/>
          <w:highlight w:val="none"/>
          <w:lang w:eastAsia="zh-CN"/>
        </w:rPr>
        <w:t>特殊情况的处置程序</w:t>
      </w:r>
    </w:p>
    <w:p w14:paraId="52C4C7E0">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4.1</w:t>
      </w:r>
      <w:r>
        <w:rPr>
          <w:rFonts w:hint="eastAsia" w:ascii="黑体" w:hAnsi="黑体" w:eastAsia="黑体" w:cs="Times New Roman"/>
          <w:b/>
          <w:snapToGrid/>
          <w:color w:val="auto"/>
          <w:kern w:val="2"/>
          <w:sz w:val="21"/>
          <w:szCs w:val="16"/>
          <w:highlight w:val="none"/>
          <w:lang w:val="en-US" w:eastAsia="zh-CN"/>
        </w:rPr>
        <w:t xml:space="preserve"> </w:t>
      </w:r>
      <w:r>
        <w:rPr>
          <w:rFonts w:hint="eastAsia" w:ascii="黑体" w:hAnsi="黑体" w:eastAsia="黑体" w:cs="Times New Roman"/>
          <w:b/>
          <w:snapToGrid/>
          <w:color w:val="auto"/>
          <w:kern w:val="2"/>
          <w:sz w:val="21"/>
          <w:szCs w:val="16"/>
          <w:highlight w:val="none"/>
          <w:lang w:eastAsia="zh-CN"/>
        </w:rPr>
        <w:t>关于评标活动暂停</w:t>
      </w:r>
    </w:p>
    <w:p w14:paraId="2136747D">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4.1.1 评标委员会应当执行连续评标的原则，按评标办法中规定的程序、内容、方法、标准完成全部评标工作。只有发生不可抗力导致评标工作无法继续时，评标活动方可暂停。</w:t>
      </w:r>
    </w:p>
    <w:p w14:paraId="194F8248">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4.1.2 发生评标暂停情况时，评标委员会应当封存全部投标文件和评标记录，待不可抗力的影响结束且具备继续评标的条件时，由原评标委员会继续评标。</w:t>
      </w:r>
    </w:p>
    <w:p w14:paraId="14F74672">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right="0"/>
        <w:jc w:val="both"/>
        <w:textAlignment w:val="auto"/>
        <w:outlineLvl w:val="9"/>
        <w:rPr>
          <w:rFonts w:hint="eastAsia" w:ascii="宋体" w:hAnsi="宋体" w:eastAsia="宋体" w:cs="Times New Roman"/>
          <w:snapToGrid/>
          <w:color w:val="auto"/>
          <w:kern w:val="2"/>
          <w:sz w:val="21"/>
          <w:szCs w:val="21"/>
          <w:highlight w:val="none"/>
          <w:lang w:eastAsia="zh-CN"/>
        </w:rPr>
      </w:pPr>
    </w:p>
    <w:p w14:paraId="674D0A2E">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4.2</w:t>
      </w:r>
      <w:r>
        <w:rPr>
          <w:rFonts w:hint="eastAsia" w:ascii="黑体" w:hAnsi="黑体" w:eastAsia="黑体" w:cs="Times New Roman"/>
          <w:b/>
          <w:snapToGrid/>
          <w:color w:val="auto"/>
          <w:kern w:val="2"/>
          <w:sz w:val="21"/>
          <w:szCs w:val="16"/>
          <w:highlight w:val="none"/>
          <w:lang w:val="en-US" w:eastAsia="zh-CN"/>
        </w:rPr>
        <w:t xml:space="preserve"> </w:t>
      </w:r>
      <w:r>
        <w:rPr>
          <w:rFonts w:hint="eastAsia" w:ascii="黑体" w:hAnsi="黑体" w:eastAsia="黑体" w:cs="Times New Roman"/>
          <w:b/>
          <w:snapToGrid/>
          <w:color w:val="auto"/>
          <w:kern w:val="2"/>
          <w:sz w:val="21"/>
          <w:szCs w:val="16"/>
          <w:highlight w:val="none"/>
          <w:lang w:eastAsia="zh-CN"/>
        </w:rPr>
        <w:t>关于评标中途更换评委</w:t>
      </w:r>
    </w:p>
    <w:p w14:paraId="1E6B8C3C">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4.2.1</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21"/>
          <w:highlight w:val="none"/>
          <w:lang w:eastAsia="zh-CN"/>
        </w:rPr>
        <w:t>除非发生下列情况之一，评标委员会成员不得在评标中途更换：</w:t>
      </w:r>
    </w:p>
    <w:p w14:paraId="7442ADE3">
      <w:pPr>
        <w:keepNext w:val="0"/>
        <w:keepLines w:val="0"/>
        <w:pageBreakBefore w:val="0"/>
        <w:widowControl w:val="0"/>
        <w:kinsoku/>
        <w:wordWrap/>
        <w:overflowPunct/>
        <w:topLinePunct w:val="0"/>
        <w:autoSpaceDE/>
        <w:autoSpaceDN/>
        <w:bidi w:val="0"/>
        <w:adjustRightInd/>
        <w:snapToGrid/>
        <w:spacing w:beforeLines="0" w:afterLines="0" w:line="400" w:lineRule="exact"/>
        <w:ind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1</w:t>
      </w:r>
      <w:r>
        <w:rPr>
          <w:rFonts w:hint="eastAsia" w:ascii="宋体" w:hAnsi="宋体" w:eastAsia="宋体" w:cs="Times New Roman"/>
          <w:snapToGrid/>
          <w:color w:val="auto"/>
          <w:kern w:val="2"/>
          <w:sz w:val="21"/>
          <w:szCs w:val="21"/>
          <w:highlight w:val="none"/>
          <w:lang w:eastAsia="zh-CN"/>
        </w:rPr>
        <w:t>）评标委员会成员有回避事由、擅离职守或者因健康等原因不能继续评标的。</w:t>
      </w:r>
    </w:p>
    <w:p w14:paraId="5E8C4FA7">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）评标委员会成员</w:t>
      </w:r>
      <w:r>
        <w:rPr>
          <w:rFonts w:hint="eastAsia" w:ascii="宋体" w:hAnsi="宋体" w:eastAsia="宋体" w:cs="Times New Roman"/>
          <w:snapToGrid/>
          <w:color w:val="auto"/>
          <w:kern w:val="2"/>
          <w:sz w:val="21"/>
          <w:szCs w:val="21"/>
          <w:highlight w:val="none"/>
          <w:lang w:val="en-US" w:eastAsia="zh-CN"/>
        </w:rPr>
        <w:t>存在</w:t>
      </w:r>
      <w:r>
        <w:rPr>
          <w:rFonts w:hint="eastAsia" w:ascii="宋体" w:hAnsi="宋体" w:eastAsia="宋体" w:cs="Times New Roman"/>
          <w:snapToGrid/>
          <w:color w:val="auto"/>
          <w:kern w:val="2"/>
          <w:sz w:val="21"/>
          <w:szCs w:val="21"/>
          <w:highlight w:val="none"/>
          <w:lang w:eastAsia="zh-CN"/>
        </w:rPr>
        <w:t>与投标人有利害关系以及其他可能影响公正评标的</w:t>
      </w:r>
      <w:r>
        <w:rPr>
          <w:rFonts w:hint="eastAsia" w:ascii="宋体" w:hAnsi="宋体" w:eastAsia="宋体" w:cs="Times New Roman"/>
          <w:snapToGrid/>
          <w:color w:val="auto"/>
          <w:kern w:val="2"/>
          <w:sz w:val="21"/>
          <w:szCs w:val="21"/>
          <w:highlight w:val="none"/>
          <w:lang w:val="en-US" w:eastAsia="zh-CN"/>
        </w:rPr>
        <w:t>情况</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并已经进入评标</w:t>
      </w:r>
      <w:r>
        <w:rPr>
          <w:rFonts w:hint="eastAsia" w:ascii="宋体" w:hAnsi="宋体" w:eastAsia="宋体" w:cs="Times New Roman"/>
          <w:snapToGrid/>
          <w:color w:val="auto"/>
          <w:kern w:val="2"/>
          <w:sz w:val="21"/>
          <w:szCs w:val="21"/>
          <w:highlight w:val="none"/>
          <w:lang w:eastAsia="zh-CN"/>
        </w:rPr>
        <w:t>的。</w:t>
      </w:r>
    </w:p>
    <w:p w14:paraId="1FBB14F1">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outlineLvl w:val="9"/>
        <w:rPr>
          <w:rFonts w:hint="eastAsia" w:ascii="宋体" w:hAnsi="宋体" w:eastAsia="宋体" w:cs="Times New Roman"/>
          <w:snapToGrid/>
          <w:color w:val="auto"/>
          <w:kern w:val="2"/>
          <w:sz w:val="21"/>
          <w:szCs w:val="21"/>
          <w:highlight w:val="none"/>
          <w:lang w:eastAsia="zh-CN"/>
        </w:rPr>
      </w:pPr>
      <w:bookmarkStart w:id="70" w:name="_Toc32369"/>
      <w:bookmarkStart w:id="71" w:name="_Toc30676"/>
      <w:bookmarkStart w:id="72" w:name="_Toc29786"/>
      <w:bookmarkStart w:id="73" w:name="_Toc1801"/>
      <w:bookmarkStart w:id="74" w:name="_Toc30549"/>
      <w:bookmarkStart w:id="75" w:name="_Toc11056"/>
      <w:r>
        <w:rPr>
          <w:rFonts w:hint="eastAsia" w:ascii="宋体" w:hAnsi="宋体" w:eastAsia="宋体" w:cs="Times New Roman"/>
          <w:snapToGrid/>
          <w:color w:val="auto"/>
          <w:kern w:val="2"/>
          <w:sz w:val="21"/>
          <w:szCs w:val="21"/>
          <w:highlight w:val="none"/>
          <w:lang w:eastAsia="zh-CN"/>
        </w:rPr>
        <w:t>4.2.2 被更换的评标委员会成员作出的评审结论无效，由更换后的评标委员会成员重新进行评审。</w:t>
      </w:r>
      <w:bookmarkEnd w:id="70"/>
      <w:bookmarkEnd w:id="71"/>
      <w:bookmarkEnd w:id="72"/>
      <w:bookmarkEnd w:id="73"/>
      <w:bookmarkEnd w:id="74"/>
      <w:bookmarkEnd w:id="75"/>
    </w:p>
    <w:p w14:paraId="7F8DCA5A">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0" w:right="0" w:hanging="630" w:hangingChars="300"/>
        <w:jc w:val="both"/>
        <w:textAlignment w:val="auto"/>
        <w:outlineLvl w:val="9"/>
        <w:rPr>
          <w:rFonts w:hint="eastAsia" w:ascii="宋体" w:hAnsi="宋体" w:eastAsia="宋体" w:cs="Times New Roman"/>
          <w:snapToGrid/>
          <w:color w:val="auto"/>
          <w:kern w:val="2"/>
          <w:sz w:val="21"/>
          <w:szCs w:val="21"/>
          <w:highlight w:val="none"/>
          <w:lang w:eastAsia="zh-CN"/>
        </w:rPr>
      </w:pPr>
    </w:p>
    <w:p w14:paraId="18ACF9A7">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4.3</w:t>
      </w:r>
      <w:r>
        <w:rPr>
          <w:rFonts w:hint="eastAsia" w:ascii="黑体" w:hAnsi="黑体" w:eastAsia="黑体" w:cs="Times New Roman"/>
          <w:b/>
          <w:snapToGrid/>
          <w:color w:val="auto"/>
          <w:kern w:val="2"/>
          <w:sz w:val="21"/>
          <w:szCs w:val="16"/>
          <w:highlight w:val="none"/>
          <w:lang w:val="en-US" w:eastAsia="zh-CN"/>
        </w:rPr>
        <w:t xml:space="preserve"> </w:t>
      </w:r>
      <w:r>
        <w:rPr>
          <w:rFonts w:hint="eastAsia" w:ascii="黑体" w:hAnsi="黑体" w:eastAsia="黑体" w:cs="Times New Roman"/>
          <w:b/>
          <w:snapToGrid/>
          <w:color w:val="auto"/>
          <w:kern w:val="2"/>
          <w:sz w:val="21"/>
          <w:szCs w:val="16"/>
          <w:highlight w:val="none"/>
          <w:lang w:eastAsia="zh-CN"/>
        </w:rPr>
        <w:t>记名投票</w:t>
      </w:r>
    </w:p>
    <w:p w14:paraId="28ED089E">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firstLine="420" w:firstLineChars="200"/>
        <w:jc w:val="both"/>
        <w:textAlignment w:val="auto"/>
        <w:outlineLvl w:val="9"/>
        <w:rPr>
          <w:rFonts w:hint="eastAsia" w:ascii="宋体" w:hAnsi="宋体" w:eastAsia="宋体" w:cs="Times New Roman"/>
          <w:snapToGrid/>
          <w:color w:val="auto"/>
          <w:kern w:val="2"/>
          <w:sz w:val="21"/>
          <w:szCs w:val="21"/>
          <w:highlight w:val="none"/>
          <w:lang w:eastAsia="zh-CN"/>
        </w:rPr>
      </w:pPr>
      <w:bookmarkStart w:id="76" w:name="_Toc17048"/>
      <w:bookmarkStart w:id="77" w:name="_Toc23147"/>
      <w:bookmarkStart w:id="78" w:name="_Toc18910"/>
      <w:bookmarkStart w:id="79" w:name="_Toc22647"/>
      <w:bookmarkStart w:id="80" w:name="_Toc9215"/>
      <w:bookmarkStart w:id="81" w:name="_Toc18001"/>
      <w:bookmarkStart w:id="82" w:name="_Toc25339"/>
      <w:r>
        <w:rPr>
          <w:rFonts w:hint="eastAsia" w:ascii="宋体" w:hAnsi="宋体" w:eastAsia="宋体" w:cs="Times New Roman"/>
          <w:snapToGrid/>
          <w:color w:val="auto"/>
          <w:kern w:val="2"/>
          <w:sz w:val="21"/>
          <w:szCs w:val="21"/>
          <w:highlight w:val="none"/>
          <w:lang w:eastAsia="zh-CN"/>
        </w:rPr>
        <w:t>在任何评标环节中，需评标委员会就某项评审结论作出表决的，由评标委员会全体成员按照少数服从多数的原则，以记名投票方式表决。</w:t>
      </w:r>
      <w:bookmarkEnd w:id="76"/>
      <w:bookmarkEnd w:id="77"/>
      <w:bookmarkEnd w:id="78"/>
      <w:bookmarkEnd w:id="79"/>
      <w:bookmarkEnd w:id="80"/>
      <w:bookmarkEnd w:id="81"/>
      <w:bookmarkEnd w:id="82"/>
    </w:p>
    <w:p w14:paraId="66208076">
      <w:pPr>
        <w:pStyle w:val="10"/>
        <w:pageBreakBefore w:val="0"/>
        <w:overflowPunct/>
        <w:bidi w:val="0"/>
        <w:spacing w:line="300" w:lineRule="auto"/>
        <w:ind w:right="0"/>
        <w:rPr>
          <w:color w:val="auto"/>
          <w:highlight w:val="none"/>
        </w:rPr>
      </w:pPr>
    </w:p>
    <w:p w14:paraId="712250EF">
      <w:pPr>
        <w:pStyle w:val="10"/>
        <w:pageBreakBefore w:val="0"/>
        <w:overflowPunct/>
        <w:bidi w:val="0"/>
        <w:spacing w:line="301" w:lineRule="auto"/>
        <w:ind w:right="0"/>
        <w:rPr>
          <w:color w:val="auto"/>
          <w:highlight w:val="none"/>
        </w:rPr>
      </w:pPr>
    </w:p>
    <w:p w14:paraId="335B7993">
      <w:pPr>
        <w:pageBreakBefore w:val="0"/>
        <w:overflowPunct/>
        <w:bidi w:val="0"/>
        <w:spacing w:before="1" w:line="1706" w:lineRule="exact"/>
        <w:ind w:right="0" w:firstLine="9816"/>
        <w:rPr>
          <w:color w:val="auto"/>
          <w:highlight w:val="none"/>
        </w:rPr>
      </w:pPr>
    </w:p>
    <w:p w14:paraId="552B229B">
      <w:pPr>
        <w:pageBreakBefore w:val="0"/>
        <w:overflowPunct/>
        <w:bidi w:val="0"/>
        <w:spacing w:line="1706" w:lineRule="exact"/>
        <w:ind w:right="0"/>
        <w:rPr>
          <w:color w:val="auto"/>
          <w:highlight w:val="none"/>
        </w:rPr>
        <w:sectPr>
          <w:headerReference r:id="rId11" w:type="default"/>
          <w:footerReference r:id="rId12" w:type="default"/>
          <w:pgSz w:w="11906" w:h="16839"/>
          <w:pgMar w:top="1431" w:right="1134" w:bottom="1048" w:left="1704" w:header="0" w:footer="886" w:gutter="0"/>
          <w:pgNumType w:fmt="decimal"/>
          <w:cols w:space="720" w:num="1"/>
        </w:sectPr>
      </w:pPr>
    </w:p>
    <w:p w14:paraId="1C48094B">
      <w:pPr>
        <w:pageBreakBefore w:val="0"/>
        <w:overflowPunct/>
        <w:bidi w:val="0"/>
        <w:spacing w:before="193" w:line="222" w:lineRule="auto"/>
        <w:ind w:left="2845" w:right="0"/>
        <w:outlineLvl w:val="0"/>
        <w:rPr>
          <w:rFonts w:ascii="黑体" w:hAnsi="黑体" w:eastAsia="黑体" w:cs="黑体"/>
          <w:color w:val="auto"/>
          <w:sz w:val="28"/>
          <w:szCs w:val="28"/>
          <w:highlight w:val="none"/>
        </w:rPr>
      </w:pPr>
      <w:bookmarkStart w:id="83" w:name="bookmark6"/>
      <w:bookmarkEnd w:id="83"/>
      <w:bookmarkStart w:id="84" w:name="_Toc23962"/>
      <w:bookmarkStart w:id="85" w:name="_Toc28394"/>
      <w:bookmarkStart w:id="86" w:name="_Toc7587"/>
      <w:bookmarkStart w:id="87" w:name="_Toc1124"/>
      <w:r>
        <w:rPr>
          <w:rFonts w:ascii="黑体" w:hAnsi="黑体" w:eastAsia="黑体" w:cs="黑体"/>
          <w:b/>
          <w:bCs/>
          <w:color w:val="auto"/>
          <w:spacing w:val="-3"/>
          <w:sz w:val="28"/>
          <w:szCs w:val="28"/>
          <w:highlight w:val="none"/>
        </w:rPr>
        <w:t>第五章</w:t>
      </w:r>
      <w:r>
        <w:rPr>
          <w:rFonts w:ascii="黑体" w:hAnsi="黑体" w:eastAsia="黑体" w:cs="黑体"/>
          <w:color w:val="auto"/>
          <w:spacing w:val="-3"/>
          <w:sz w:val="28"/>
          <w:szCs w:val="28"/>
          <w:highlight w:val="none"/>
        </w:rPr>
        <w:t xml:space="preserve"> </w:t>
      </w:r>
      <w:r>
        <w:rPr>
          <w:rFonts w:ascii="黑体" w:hAnsi="黑体" w:eastAsia="黑体" w:cs="黑体"/>
          <w:b/>
          <w:bCs/>
          <w:color w:val="auto"/>
          <w:spacing w:val="-3"/>
          <w:sz w:val="28"/>
          <w:szCs w:val="28"/>
          <w:highlight w:val="none"/>
        </w:rPr>
        <w:t>合同条款及格式</w:t>
      </w:r>
      <w:bookmarkEnd w:id="84"/>
      <w:bookmarkEnd w:id="85"/>
      <w:bookmarkEnd w:id="86"/>
      <w:bookmarkEnd w:id="87"/>
    </w:p>
    <w:p w14:paraId="554B6000">
      <w:pPr>
        <w:pageBreakBefore w:val="0"/>
        <w:overflowPunct/>
        <w:bidi w:val="0"/>
        <w:spacing w:before="64" w:line="219" w:lineRule="auto"/>
        <w:ind w:left="3010" w:right="0"/>
        <w:rPr>
          <w:rFonts w:hint="eastAsia" w:ascii="宋体" w:hAnsi="宋体" w:eastAsia="宋体" w:cs="宋体"/>
          <w:color w:val="auto"/>
          <w:spacing w:val="-2"/>
          <w:sz w:val="24"/>
          <w:szCs w:val="24"/>
          <w:highlight w:val="none"/>
          <w:lang w:eastAsia="zh-CN"/>
        </w:rPr>
        <w:sectPr>
          <w:footerReference r:id="rId13" w:type="default"/>
          <w:pgSz w:w="11906" w:h="16839"/>
          <w:pgMar w:top="1429" w:right="5" w:bottom="1049" w:left="1785" w:header="0" w:footer="884" w:gutter="0"/>
          <w:pgNumType w:fmt="decimal"/>
          <w:cols w:space="0" w:num="1"/>
          <w:rtlGutter w:val="0"/>
          <w:docGrid w:linePitch="0" w:charSpace="0"/>
        </w:sectPr>
      </w:pPr>
      <w:r>
        <w:rPr>
          <w:rFonts w:ascii="宋体" w:hAnsi="宋体" w:eastAsia="宋体" w:cs="宋体"/>
          <w:color w:val="auto"/>
          <w:spacing w:val="-2"/>
          <w:sz w:val="24"/>
          <w:szCs w:val="24"/>
          <w:highlight w:val="none"/>
        </w:rPr>
        <w:t>（与招标文件同时发布</w:t>
      </w:r>
      <w:r>
        <w:rPr>
          <w:rFonts w:hint="eastAsia" w:ascii="宋体" w:hAnsi="宋体" w:eastAsia="宋体" w:cs="宋体"/>
          <w:color w:val="auto"/>
          <w:spacing w:val="-2"/>
          <w:sz w:val="24"/>
          <w:szCs w:val="24"/>
          <w:highlight w:val="none"/>
          <w:lang w:eastAsia="zh-CN"/>
        </w:rPr>
        <w:t>）</w:t>
      </w:r>
    </w:p>
    <w:p w14:paraId="49AC1792">
      <w:pPr>
        <w:pageBreakBefore w:val="0"/>
        <w:overflowPunct/>
        <w:bidi w:val="0"/>
        <w:spacing w:line="360" w:lineRule="auto"/>
        <w:ind w:right="0"/>
        <w:rPr>
          <w:rFonts w:ascii="宋体" w:hAnsi="宋体"/>
          <w:color w:val="auto"/>
          <w:highlight w:val="none"/>
        </w:rPr>
      </w:pPr>
    </w:p>
    <w:p w14:paraId="7B02A9D9">
      <w:pPr>
        <w:pageBreakBefore w:val="0"/>
        <w:overflowPunct/>
        <w:bidi w:val="0"/>
        <w:spacing w:line="360" w:lineRule="auto"/>
        <w:ind w:right="0"/>
        <w:rPr>
          <w:rFonts w:ascii="宋体" w:hAnsi="宋体"/>
          <w:color w:val="auto"/>
          <w:highlight w:val="none"/>
        </w:rPr>
      </w:pPr>
    </w:p>
    <w:p w14:paraId="51CA6609">
      <w:pPr>
        <w:pStyle w:val="2"/>
        <w:pageBreakBefore w:val="0"/>
        <w:overflowPunct/>
        <w:bidi w:val="0"/>
        <w:ind w:right="0"/>
        <w:rPr>
          <w:color w:val="auto"/>
          <w:highlight w:val="none"/>
        </w:rPr>
      </w:pPr>
    </w:p>
    <w:p w14:paraId="40C24249">
      <w:pPr>
        <w:pageBreakBefore w:val="0"/>
        <w:overflowPunct/>
        <w:bidi w:val="0"/>
        <w:spacing w:line="360" w:lineRule="auto"/>
        <w:ind w:right="0"/>
        <w:rPr>
          <w:color w:val="auto"/>
          <w:highlight w:val="none"/>
        </w:rPr>
      </w:pPr>
    </w:p>
    <w:p w14:paraId="2F80593D">
      <w:pPr>
        <w:pageBreakBefore w:val="0"/>
        <w:overflowPunct/>
        <w:bidi w:val="0"/>
        <w:spacing w:line="360" w:lineRule="auto"/>
        <w:ind w:right="0"/>
        <w:rPr>
          <w:color w:val="auto"/>
          <w:highlight w:val="none"/>
        </w:rPr>
      </w:pPr>
    </w:p>
    <w:p w14:paraId="2DC01D14">
      <w:pPr>
        <w:pageBreakBefore w:val="0"/>
        <w:tabs>
          <w:tab w:val="left" w:pos="1440"/>
        </w:tabs>
        <w:overflowPunct/>
        <w:bidi w:val="0"/>
        <w:spacing w:line="360" w:lineRule="auto"/>
        <w:ind w:left="0" w:leftChars="0" w:right="0" w:firstLine="0" w:firstLineChars="0"/>
        <w:jc w:val="center"/>
        <w:rPr>
          <w:color w:val="auto"/>
          <w:sz w:val="68"/>
          <w:highlight w:val="none"/>
        </w:rPr>
      </w:pPr>
      <w:r>
        <w:rPr>
          <w:rFonts w:hint="eastAsia"/>
          <w:color w:val="auto"/>
          <w:sz w:val="68"/>
          <w:highlight w:val="none"/>
        </w:rPr>
        <w:t>合  同  书</w:t>
      </w:r>
    </w:p>
    <w:p w14:paraId="5069B8C8">
      <w:pPr>
        <w:pageBreakBefore w:val="0"/>
        <w:overflowPunct/>
        <w:bidi w:val="0"/>
        <w:spacing w:line="360" w:lineRule="auto"/>
        <w:ind w:right="0"/>
        <w:rPr>
          <w:color w:val="auto"/>
          <w:highlight w:val="none"/>
        </w:rPr>
      </w:pPr>
    </w:p>
    <w:p w14:paraId="64B5EF11">
      <w:pPr>
        <w:pageBreakBefore w:val="0"/>
        <w:overflowPunct/>
        <w:bidi w:val="0"/>
        <w:spacing w:line="360" w:lineRule="auto"/>
        <w:ind w:right="0"/>
        <w:rPr>
          <w:color w:val="auto"/>
          <w:highlight w:val="none"/>
        </w:rPr>
      </w:pPr>
    </w:p>
    <w:p w14:paraId="500B916D">
      <w:pPr>
        <w:pageBreakBefore w:val="0"/>
        <w:overflowPunct/>
        <w:bidi w:val="0"/>
        <w:spacing w:line="360" w:lineRule="auto"/>
        <w:ind w:left="0" w:leftChars="0" w:right="0" w:firstLine="0" w:firstLineChars="0"/>
        <w:jc w:val="center"/>
        <w:rPr>
          <w:rFonts w:hint="eastAsia" w:eastAsia="宋体"/>
          <w:b/>
          <w:color w:val="auto"/>
          <w:sz w:val="28"/>
          <w:szCs w:val="24"/>
          <w:highlight w:val="none"/>
          <w:lang w:eastAsia="zh-CN"/>
        </w:rPr>
      </w:pPr>
      <w:r>
        <w:rPr>
          <w:rFonts w:hint="eastAsia"/>
          <w:b/>
          <w:color w:val="auto"/>
          <w:sz w:val="28"/>
          <w:szCs w:val="24"/>
          <w:highlight w:val="none"/>
        </w:rPr>
        <w:t>项目名称：</w:t>
      </w:r>
      <w:r>
        <w:rPr>
          <w:rFonts w:hint="eastAsia" w:eastAsia="宋体"/>
          <w:b/>
          <w:color w:val="auto"/>
          <w:sz w:val="28"/>
          <w:szCs w:val="24"/>
          <w:highlight w:val="none"/>
          <w:lang w:eastAsia="zh-CN"/>
        </w:rPr>
        <w:t>佛山顺德粤港澳协同发展合作区排水管网建设及改造工程（二期、三期、四期）水土保持监测</w:t>
      </w:r>
    </w:p>
    <w:p w14:paraId="38FBE46C">
      <w:pPr>
        <w:pageBreakBefore w:val="0"/>
        <w:overflowPunct/>
        <w:bidi w:val="0"/>
        <w:spacing w:line="360" w:lineRule="auto"/>
        <w:ind w:right="0"/>
        <w:rPr>
          <w:color w:val="auto"/>
          <w:highlight w:val="none"/>
        </w:rPr>
      </w:pPr>
    </w:p>
    <w:p w14:paraId="1DCF6D49">
      <w:pPr>
        <w:pageBreakBefore w:val="0"/>
        <w:overflowPunct/>
        <w:bidi w:val="0"/>
        <w:spacing w:line="360" w:lineRule="auto"/>
        <w:ind w:right="0"/>
        <w:rPr>
          <w:color w:val="auto"/>
          <w:highlight w:val="none"/>
        </w:rPr>
      </w:pPr>
    </w:p>
    <w:p w14:paraId="4327CD98">
      <w:pPr>
        <w:pageBreakBefore w:val="0"/>
        <w:overflowPunct/>
        <w:bidi w:val="0"/>
        <w:spacing w:line="360" w:lineRule="auto"/>
        <w:ind w:right="0"/>
        <w:rPr>
          <w:color w:val="auto"/>
          <w:highlight w:val="none"/>
        </w:rPr>
      </w:pPr>
    </w:p>
    <w:p w14:paraId="6F9DC28A">
      <w:pPr>
        <w:pageBreakBefore w:val="0"/>
        <w:overflowPunct/>
        <w:bidi w:val="0"/>
        <w:spacing w:line="360" w:lineRule="auto"/>
        <w:ind w:right="0"/>
        <w:rPr>
          <w:color w:val="auto"/>
          <w:highlight w:val="none"/>
        </w:rPr>
      </w:pPr>
    </w:p>
    <w:p w14:paraId="57D219B1">
      <w:pPr>
        <w:pageBreakBefore w:val="0"/>
        <w:overflowPunct/>
        <w:bidi w:val="0"/>
        <w:spacing w:line="360" w:lineRule="auto"/>
        <w:ind w:right="0"/>
        <w:rPr>
          <w:color w:val="auto"/>
          <w:highlight w:val="none"/>
        </w:rPr>
      </w:pPr>
    </w:p>
    <w:p w14:paraId="3914AF00">
      <w:pPr>
        <w:pageBreakBefore w:val="0"/>
        <w:overflowPunct/>
        <w:bidi w:val="0"/>
        <w:spacing w:line="360" w:lineRule="auto"/>
        <w:ind w:right="0"/>
        <w:rPr>
          <w:color w:val="auto"/>
          <w:highlight w:val="none"/>
        </w:rPr>
      </w:pPr>
    </w:p>
    <w:p w14:paraId="0C5B343D">
      <w:pPr>
        <w:pageBreakBefore w:val="0"/>
        <w:overflowPunct/>
        <w:bidi w:val="0"/>
        <w:spacing w:line="360" w:lineRule="auto"/>
        <w:ind w:right="0"/>
        <w:rPr>
          <w:color w:val="auto"/>
          <w:highlight w:val="none"/>
        </w:rPr>
      </w:pPr>
    </w:p>
    <w:p w14:paraId="703A3894">
      <w:pPr>
        <w:pageBreakBefore w:val="0"/>
        <w:overflowPunct/>
        <w:bidi w:val="0"/>
        <w:spacing w:line="360" w:lineRule="auto"/>
        <w:ind w:right="0"/>
        <w:rPr>
          <w:rFonts w:ascii="宋体" w:hAnsi="宋体"/>
          <w:color w:val="auto"/>
          <w:highlight w:val="none"/>
        </w:rPr>
      </w:pPr>
    </w:p>
    <w:p w14:paraId="74B13BA7">
      <w:pPr>
        <w:pageBreakBefore w:val="0"/>
        <w:overflowPunct/>
        <w:bidi w:val="0"/>
        <w:spacing w:line="360" w:lineRule="auto"/>
        <w:ind w:right="0"/>
        <w:rPr>
          <w:rFonts w:ascii="宋体" w:hAnsi="宋体"/>
          <w:color w:val="auto"/>
          <w:highlight w:val="none"/>
        </w:rPr>
      </w:pPr>
    </w:p>
    <w:p w14:paraId="0F83D3D5">
      <w:pPr>
        <w:pageBreakBefore w:val="0"/>
        <w:overflowPunct/>
        <w:bidi w:val="0"/>
        <w:spacing w:line="360" w:lineRule="auto"/>
        <w:ind w:right="0"/>
        <w:rPr>
          <w:rFonts w:ascii="宋体" w:hAnsi="宋体"/>
          <w:color w:val="auto"/>
          <w:highlight w:val="none"/>
        </w:rPr>
      </w:pPr>
    </w:p>
    <w:p w14:paraId="3CBDF55F">
      <w:pPr>
        <w:pageBreakBefore w:val="0"/>
        <w:overflowPunct/>
        <w:bidi w:val="0"/>
        <w:spacing w:line="360" w:lineRule="auto"/>
        <w:ind w:right="0"/>
        <w:rPr>
          <w:rFonts w:ascii="宋体" w:hAnsi="宋体"/>
          <w:color w:val="auto"/>
          <w:highlight w:val="none"/>
        </w:rPr>
      </w:pPr>
    </w:p>
    <w:p w14:paraId="44D3D605">
      <w:pPr>
        <w:pageBreakBefore w:val="0"/>
        <w:overflowPunct/>
        <w:bidi w:val="0"/>
        <w:spacing w:line="360" w:lineRule="auto"/>
        <w:ind w:right="0"/>
        <w:rPr>
          <w:rFonts w:ascii="宋体" w:hAnsi="宋体"/>
          <w:color w:val="auto"/>
          <w:highlight w:val="none"/>
        </w:rPr>
      </w:pPr>
    </w:p>
    <w:p w14:paraId="49F906E8">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ascii="宋体" w:hAnsi="宋体"/>
          <w:b/>
          <w:color w:val="auto"/>
          <w:sz w:val="28"/>
          <w:szCs w:val="24"/>
          <w:highlight w:val="none"/>
          <w:u w:val="single"/>
        </w:rPr>
      </w:pPr>
      <w:r>
        <w:rPr>
          <w:rFonts w:hint="eastAsia" w:ascii="宋体" w:hAnsi="宋体" w:eastAsia="宋体"/>
          <w:b/>
          <w:color w:val="auto"/>
          <w:sz w:val="28"/>
          <w:szCs w:val="24"/>
          <w:highlight w:val="none"/>
          <w:lang w:eastAsia="zh-CN"/>
        </w:rPr>
        <w:t>发包人</w:t>
      </w:r>
      <w:r>
        <w:rPr>
          <w:rFonts w:ascii="宋体" w:hAnsi="宋体"/>
          <w:b/>
          <w:color w:val="auto"/>
          <w:sz w:val="28"/>
          <w:szCs w:val="24"/>
          <w:highlight w:val="none"/>
        </w:rPr>
        <w:t>：</w:t>
      </w:r>
      <w:r>
        <w:rPr>
          <w:rFonts w:hint="eastAsia" w:ascii="宋体" w:hAnsi="宋体"/>
          <w:b/>
          <w:color w:val="auto"/>
          <w:sz w:val="28"/>
          <w:szCs w:val="24"/>
          <w:highlight w:val="none"/>
          <w:u w:val="single"/>
        </w:rPr>
        <w:t xml:space="preserve">         （招标人）</w:t>
      </w:r>
    </w:p>
    <w:p w14:paraId="5217C45D">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ascii="宋体" w:hAnsi="宋体"/>
          <w:b/>
          <w:color w:val="auto"/>
          <w:sz w:val="28"/>
          <w:szCs w:val="24"/>
          <w:highlight w:val="none"/>
          <w:u w:val="single"/>
        </w:rPr>
      </w:pPr>
      <w:r>
        <w:rPr>
          <w:rFonts w:hint="eastAsia" w:ascii="宋体" w:hAnsi="宋体" w:eastAsia="宋体"/>
          <w:b/>
          <w:color w:val="auto"/>
          <w:sz w:val="28"/>
          <w:szCs w:val="24"/>
          <w:highlight w:val="none"/>
          <w:lang w:eastAsia="zh-CN"/>
        </w:rPr>
        <w:t>承包人</w:t>
      </w:r>
      <w:r>
        <w:rPr>
          <w:rFonts w:ascii="宋体" w:hAnsi="宋体"/>
          <w:b/>
          <w:color w:val="auto"/>
          <w:sz w:val="28"/>
          <w:szCs w:val="24"/>
          <w:highlight w:val="none"/>
        </w:rPr>
        <w:t>：</w:t>
      </w:r>
      <w:r>
        <w:rPr>
          <w:rFonts w:hint="eastAsia" w:ascii="宋体" w:hAnsi="宋体"/>
          <w:b/>
          <w:color w:val="auto"/>
          <w:sz w:val="28"/>
          <w:szCs w:val="24"/>
          <w:highlight w:val="none"/>
          <w:u w:val="single"/>
        </w:rPr>
        <w:t xml:space="preserve">         （中标人）</w:t>
      </w:r>
    </w:p>
    <w:p w14:paraId="6183F2EE">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hAnsi="宋体"/>
          <w:b/>
          <w:color w:val="auto"/>
          <w:sz w:val="28"/>
          <w:szCs w:val="24"/>
          <w:highlight w:val="none"/>
        </w:rPr>
        <w:sectPr>
          <w:pgSz w:w="11906" w:h="16838"/>
          <w:pgMar w:top="1440" w:right="1800" w:bottom="1440" w:left="1800" w:header="851" w:footer="992" w:gutter="0"/>
          <w:pgNumType w:fmt="decimal"/>
          <w:cols w:space="425" w:num="1"/>
          <w:docGrid w:type="lines" w:linePitch="312" w:charSpace="0"/>
        </w:sectPr>
      </w:pPr>
      <w:r>
        <w:rPr>
          <w:rFonts w:hAnsi="宋体"/>
          <w:b/>
          <w:color w:val="auto"/>
          <w:sz w:val="28"/>
          <w:szCs w:val="24"/>
          <w:highlight w:val="none"/>
        </w:rPr>
        <w:t>签订日期：</w:t>
      </w:r>
      <w:r>
        <w:rPr>
          <w:rFonts w:hint="eastAsia"/>
          <w:b/>
          <w:color w:val="auto"/>
          <w:sz w:val="28"/>
          <w:szCs w:val="24"/>
          <w:highlight w:val="none"/>
        </w:rPr>
        <w:t xml:space="preserve">     </w:t>
      </w:r>
      <w:r>
        <w:rPr>
          <w:b/>
          <w:color w:val="auto"/>
          <w:sz w:val="28"/>
          <w:szCs w:val="24"/>
          <w:highlight w:val="none"/>
        </w:rPr>
        <w:t>年</w:t>
      </w:r>
      <w:r>
        <w:rPr>
          <w:rFonts w:hint="eastAsia"/>
          <w:b/>
          <w:color w:val="auto"/>
          <w:sz w:val="28"/>
          <w:szCs w:val="24"/>
          <w:highlight w:val="none"/>
        </w:rPr>
        <w:t xml:space="preserve">    </w:t>
      </w:r>
      <w:r>
        <w:rPr>
          <w:rFonts w:hAnsi="宋体"/>
          <w:b/>
          <w:color w:val="auto"/>
          <w:sz w:val="28"/>
          <w:szCs w:val="24"/>
          <w:highlight w:val="none"/>
        </w:rPr>
        <w:t>月</w:t>
      </w:r>
    </w:p>
    <w:p w14:paraId="1FD4D8BB">
      <w:pPr>
        <w:pStyle w:val="15"/>
        <w:keepNext w:val="0"/>
        <w:keepLines w:val="0"/>
        <w:widowControl/>
        <w:suppressLineNumbers w:val="0"/>
        <w:spacing w:beforeAutospacing="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发包人</w:t>
      </w:r>
      <w:r>
        <w:rPr>
          <w:rFonts w:hint="eastAsia" w:asciiTheme="minorEastAsia" w:hAnsiTheme="minorEastAsia" w:eastAsiaTheme="minorEastAsia" w:cstheme="minorEastAsia"/>
          <w:color w:val="auto"/>
          <w:highlight w:val="none"/>
        </w:rPr>
        <w:t xml:space="preserve">：________________________ </w:t>
      </w:r>
    </w:p>
    <w:p w14:paraId="01AB9EBA">
      <w:pPr>
        <w:pStyle w:val="15"/>
        <w:keepNext w:val="0"/>
        <w:keepLines w:val="0"/>
        <w:widowControl/>
        <w:suppressLineNumbers w:val="0"/>
        <w:spacing w:beforeAutospacing="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承包人</w:t>
      </w:r>
      <w:r>
        <w:rPr>
          <w:rFonts w:hint="eastAsia" w:asciiTheme="minorEastAsia" w:hAnsiTheme="minorEastAsia" w:eastAsiaTheme="minorEastAsia" w:cstheme="minorEastAsia"/>
          <w:color w:val="auto"/>
          <w:highlight w:val="none"/>
        </w:rPr>
        <w:t xml:space="preserve">：________________________ </w:t>
      </w:r>
    </w:p>
    <w:p w14:paraId="1463D56D">
      <w:pPr>
        <w:pStyle w:val="15"/>
        <w:keepNext w:val="0"/>
        <w:keepLines w:val="0"/>
        <w:widowControl/>
        <w:suppressLineNumbers w:val="0"/>
        <w:spacing w:beforeAutospacing="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根据《中华人民共和国民法典》、《中华人民共和国建筑法》、《中华人民共和国水土保持法》、《广东省水土保持条例》以及《水土保持监测技术规范》SL/T 277-2024 等法律法规、技术标准，甲乙双方就【</w:t>
      </w:r>
      <w:r>
        <w:rPr>
          <w:rFonts w:hint="eastAsia" w:asciiTheme="minorEastAsia" w:hAnsiTheme="minorEastAsia" w:eastAsiaTheme="minorEastAsia" w:cstheme="minorEastAsia"/>
          <w:color w:val="auto"/>
          <w:highlight w:val="none"/>
          <w:lang w:eastAsia="zh-CN"/>
        </w:rPr>
        <w:t>佛山顺德粤港澳协同发展合作区排水管网建设及改造工程（二期、三期、四期）水土保持监测</w:t>
      </w:r>
      <w:r>
        <w:rPr>
          <w:rFonts w:hint="eastAsia" w:asciiTheme="minorEastAsia" w:hAnsiTheme="minorEastAsia" w:eastAsiaTheme="minorEastAsia" w:cstheme="minorEastAsia"/>
          <w:color w:val="auto"/>
          <w:highlight w:val="none"/>
        </w:rPr>
        <w:t>项目】水土保持监测技术服务事宜，经平等协商订立本合同，共同遵照执行。</w:t>
      </w:r>
    </w:p>
    <w:p w14:paraId="5BA0502C">
      <w:pPr>
        <w:pStyle w:val="5"/>
        <w:bidi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第一条 项目概况</w:t>
      </w:r>
    </w:p>
    <w:p w14:paraId="167CEDAD">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highlight w:val="none"/>
          <w:lang w:eastAsia="zh-CN" w:bidi="ar"/>
        </w:rPr>
      </w:pPr>
      <w:r>
        <w:rPr>
          <w:rFonts w:hint="eastAsia" w:asciiTheme="minorEastAsia" w:hAnsiTheme="minorEastAsia" w:eastAsiaTheme="minorEastAsia" w:cstheme="minorEastAsia"/>
          <w:snapToGrid w:val="0"/>
          <w:color w:val="auto"/>
          <w:kern w:val="0"/>
          <w:sz w:val="24"/>
          <w:szCs w:val="24"/>
          <w:highlight w:val="none"/>
          <w:lang w:val="en-US" w:eastAsia="zh-CN" w:bidi="ar"/>
        </w:rPr>
        <w:t>1.1</w:t>
      </w:r>
      <w:r>
        <w:rPr>
          <w:rFonts w:hint="eastAsia" w:asciiTheme="minorEastAsia" w:hAnsiTheme="minorEastAsia" w:eastAsiaTheme="minorEastAsia" w:cstheme="minorEastAsia"/>
          <w:color w:val="auto"/>
          <w:sz w:val="24"/>
          <w:highlight w:val="none"/>
          <w:lang w:eastAsia="zh-CN" w:bidi="ar"/>
        </w:rPr>
        <w:t>项目名称：________________________________</w:t>
      </w:r>
    </w:p>
    <w:p w14:paraId="067AD28E">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highlight w:val="none"/>
          <w:lang w:eastAsia="zh-CN" w:bidi="ar"/>
        </w:rPr>
      </w:pPr>
      <w:r>
        <w:rPr>
          <w:rFonts w:hint="eastAsia" w:asciiTheme="minorEastAsia" w:hAnsiTheme="minorEastAsia" w:eastAsiaTheme="minorEastAsia" w:cstheme="minorEastAsia"/>
          <w:snapToGrid w:val="0"/>
          <w:color w:val="auto"/>
          <w:kern w:val="0"/>
          <w:sz w:val="24"/>
          <w:szCs w:val="24"/>
          <w:highlight w:val="none"/>
          <w:lang w:val="en-US" w:eastAsia="zh-CN" w:bidi="ar"/>
        </w:rPr>
        <w:t>1.2</w:t>
      </w:r>
      <w:r>
        <w:rPr>
          <w:rFonts w:hint="eastAsia" w:asciiTheme="minorEastAsia" w:hAnsiTheme="minorEastAsia" w:eastAsiaTheme="minorEastAsia" w:cstheme="minorEastAsia"/>
          <w:color w:val="auto"/>
          <w:sz w:val="24"/>
          <w:highlight w:val="none"/>
          <w:lang w:eastAsia="zh-CN" w:bidi="ar"/>
        </w:rPr>
        <w:t>项目地点：________________________________</w:t>
      </w:r>
    </w:p>
    <w:p w14:paraId="0F0F5180">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highlight w:val="none"/>
          <w:lang w:eastAsia="zh-CN" w:bidi="ar"/>
        </w:rPr>
      </w:pPr>
      <w:r>
        <w:rPr>
          <w:rFonts w:hint="eastAsia" w:asciiTheme="minorEastAsia" w:hAnsiTheme="minorEastAsia" w:eastAsiaTheme="minorEastAsia" w:cstheme="minorEastAsia"/>
          <w:snapToGrid w:val="0"/>
          <w:color w:val="auto"/>
          <w:kern w:val="0"/>
          <w:sz w:val="24"/>
          <w:szCs w:val="24"/>
          <w:highlight w:val="none"/>
          <w:lang w:val="en-US" w:eastAsia="zh-CN" w:bidi="ar"/>
        </w:rPr>
        <w:t>1.3</w:t>
      </w:r>
      <w:r>
        <w:rPr>
          <w:rFonts w:hint="eastAsia" w:asciiTheme="minorEastAsia" w:hAnsiTheme="minorEastAsia" w:eastAsiaTheme="minorEastAsia" w:cstheme="minorEastAsia"/>
          <w:color w:val="auto"/>
          <w:sz w:val="24"/>
          <w:highlight w:val="none"/>
          <w:lang w:eastAsia="zh-CN" w:bidi="ar"/>
        </w:rPr>
        <w:t>监测范围：</w:t>
      </w:r>
      <w:r>
        <w:rPr>
          <w:rFonts w:hint="eastAsia" w:asciiTheme="minorEastAsia" w:hAnsiTheme="minorEastAsia" w:eastAsiaTheme="minorEastAsia" w:cstheme="minorEastAsia"/>
          <w:b w:val="0"/>
          <w:bCs w:val="0"/>
          <w:snapToGrid w:val="0"/>
          <w:color w:val="auto"/>
          <w:kern w:val="0"/>
          <w:sz w:val="24"/>
          <w:szCs w:val="24"/>
          <w:highlight w:val="none"/>
          <w:lang w:val="en-US" w:eastAsia="en-US" w:bidi="ar-SA"/>
        </w:rPr>
        <w:t>佛山顺德粤港澳协同发展合作区排水管网建设及改造工程（二期、三期、四期）</w:t>
      </w:r>
      <w:r>
        <w:rPr>
          <w:rFonts w:hint="eastAsia" w:asciiTheme="minorEastAsia" w:hAnsiTheme="minorEastAsia" w:eastAsiaTheme="minorEastAsia" w:cstheme="minorEastAsia"/>
          <w:b w:val="0"/>
          <w:bCs w:val="0"/>
          <w:snapToGrid w:val="0"/>
          <w:color w:val="auto"/>
          <w:kern w:val="0"/>
          <w:sz w:val="24"/>
          <w:szCs w:val="24"/>
          <w:highlight w:val="none"/>
          <w:lang w:val="en-US" w:eastAsia="zh-CN" w:bidi="ar-SA"/>
        </w:rPr>
        <w:t>项目范围</w:t>
      </w:r>
      <w:r>
        <w:rPr>
          <w:rFonts w:hint="eastAsia" w:asciiTheme="minorEastAsia" w:hAnsiTheme="minorEastAsia" w:eastAsiaTheme="minorEastAsia" w:cstheme="minorEastAsia"/>
          <w:color w:val="auto"/>
          <w:sz w:val="24"/>
          <w:highlight w:val="none"/>
          <w:lang w:eastAsia="zh-CN" w:bidi="ar"/>
        </w:rPr>
        <w:t>。</w:t>
      </w:r>
    </w:p>
    <w:p w14:paraId="0C0AE8AB">
      <w:pPr>
        <w:pStyle w:val="5"/>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第二条 服务依据（参照文件）</w:t>
      </w:r>
    </w:p>
    <w:p w14:paraId="28EE269F">
      <w:pPr>
        <w:pStyle w:val="15"/>
        <w:keepNext w:val="0"/>
        <w:keepLines w:val="0"/>
        <w:widowControl/>
        <w:suppressLineNumbers w:val="0"/>
        <w:spacing w:beforeAutospacing="0" w:afterAutospacing="0" w:line="500" w:lineRule="exac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本项目水土保持监测工作，必须严格执行以下文件、规范：</w:t>
      </w:r>
    </w:p>
    <w:p w14:paraId="2ABF4923">
      <w:pPr>
        <w:keepNext w:val="0"/>
        <w:keepLines w:val="0"/>
        <w:widowControl/>
        <w:numPr>
          <w:ilvl w:val="0"/>
          <w:numId w:val="0"/>
        </w:numPr>
        <w:suppressLineNumbers w:val="0"/>
        <w:spacing w:before="0" w:beforeAutospacing="0" w:after="0" w:afterAutospacing="0" w:line="500" w:lineRule="exact"/>
        <w:ind w:left="720" w:hanging="36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2.1</w:t>
      </w:r>
      <w:r>
        <w:rPr>
          <w:rFonts w:hint="eastAsia" w:asciiTheme="minorEastAsia" w:hAnsiTheme="minorEastAsia" w:eastAsiaTheme="minorEastAsia" w:cstheme="minorEastAsia"/>
          <w:color w:val="auto"/>
          <w:sz w:val="24"/>
          <w:szCs w:val="24"/>
          <w:highlight w:val="none"/>
        </w:rPr>
        <w:t>《中华人民共和国水土保持法》及其实施条例；</w:t>
      </w:r>
    </w:p>
    <w:p w14:paraId="271B371B">
      <w:pPr>
        <w:keepNext w:val="0"/>
        <w:keepLines w:val="0"/>
        <w:widowControl/>
        <w:numPr>
          <w:ilvl w:val="0"/>
          <w:numId w:val="0"/>
        </w:numPr>
        <w:suppressLineNumbers w:val="0"/>
        <w:spacing w:before="0" w:beforeAutospacing="0" w:after="0" w:afterAutospacing="0" w:line="500" w:lineRule="exact"/>
        <w:ind w:left="720" w:hanging="36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2.1</w:t>
      </w:r>
      <w:r>
        <w:rPr>
          <w:rFonts w:hint="eastAsia" w:asciiTheme="minorEastAsia" w:hAnsiTheme="minorEastAsia" w:eastAsiaTheme="minorEastAsia" w:cstheme="minorEastAsia"/>
          <w:color w:val="auto"/>
          <w:sz w:val="24"/>
          <w:szCs w:val="24"/>
          <w:highlight w:val="none"/>
        </w:rPr>
        <w:t>《生产建设项目水土保持监测与评价标准》GB/T 22490；</w:t>
      </w:r>
    </w:p>
    <w:p w14:paraId="5CE428FE">
      <w:pPr>
        <w:keepNext w:val="0"/>
        <w:keepLines w:val="0"/>
        <w:widowControl/>
        <w:numPr>
          <w:ilvl w:val="0"/>
          <w:numId w:val="0"/>
        </w:numPr>
        <w:suppressLineNumbers w:val="0"/>
        <w:spacing w:before="0" w:beforeAutospacing="0" w:after="0" w:afterAutospacing="0" w:line="500" w:lineRule="exact"/>
        <w:ind w:left="720" w:hanging="36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2.3</w:t>
      </w:r>
      <w:r>
        <w:rPr>
          <w:rFonts w:hint="eastAsia" w:asciiTheme="minorEastAsia" w:hAnsiTheme="minorEastAsia" w:eastAsiaTheme="minorEastAsia" w:cstheme="minorEastAsia"/>
          <w:color w:val="auto"/>
          <w:sz w:val="24"/>
          <w:szCs w:val="24"/>
          <w:highlight w:val="none"/>
        </w:rPr>
        <w:t>《水土保持监测技术规范》SL/T 277-2024；</w:t>
      </w:r>
    </w:p>
    <w:p w14:paraId="5F29143C">
      <w:pPr>
        <w:keepNext w:val="0"/>
        <w:keepLines w:val="0"/>
        <w:widowControl/>
        <w:numPr>
          <w:ilvl w:val="0"/>
          <w:numId w:val="0"/>
        </w:numPr>
        <w:suppressLineNumbers w:val="0"/>
        <w:spacing w:before="0" w:beforeAutospacing="0" w:after="0" w:afterAutospacing="0" w:line="500" w:lineRule="exact"/>
        <w:ind w:left="720" w:hanging="36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2.4</w:t>
      </w:r>
      <w:r>
        <w:rPr>
          <w:rFonts w:hint="eastAsia" w:asciiTheme="minorEastAsia" w:hAnsiTheme="minorEastAsia" w:eastAsiaTheme="minorEastAsia" w:cstheme="minorEastAsia"/>
          <w:color w:val="auto"/>
          <w:sz w:val="24"/>
          <w:szCs w:val="24"/>
          <w:highlight w:val="none"/>
        </w:rPr>
        <w:t>本项目水土保持方案报告书（表）及其水行政主管部门批复文件；</w:t>
      </w:r>
    </w:p>
    <w:p w14:paraId="2FC2907A">
      <w:pPr>
        <w:keepNext w:val="0"/>
        <w:keepLines w:val="0"/>
        <w:widowControl/>
        <w:numPr>
          <w:ilvl w:val="0"/>
          <w:numId w:val="0"/>
        </w:numPr>
        <w:suppressLineNumbers w:val="0"/>
        <w:spacing w:before="0" w:beforeAutospacing="0" w:after="0" w:afterAutospacing="0" w:line="500" w:lineRule="exact"/>
        <w:ind w:left="720" w:hanging="36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2.5</w:t>
      </w:r>
      <w:r>
        <w:rPr>
          <w:rFonts w:hint="eastAsia" w:asciiTheme="minorEastAsia" w:hAnsiTheme="minorEastAsia" w:eastAsiaTheme="minorEastAsia" w:cstheme="minorEastAsia"/>
          <w:color w:val="auto"/>
          <w:sz w:val="24"/>
          <w:szCs w:val="24"/>
          <w:highlight w:val="none"/>
        </w:rPr>
        <w:t>项目主体工程设计文件、施工图、施工组织设计；</w:t>
      </w:r>
    </w:p>
    <w:p w14:paraId="51BE516D">
      <w:pPr>
        <w:keepNext w:val="0"/>
        <w:keepLines w:val="0"/>
        <w:widowControl/>
        <w:numPr>
          <w:ilvl w:val="0"/>
          <w:numId w:val="0"/>
        </w:numPr>
        <w:suppressLineNumbers w:val="0"/>
        <w:spacing w:before="0" w:beforeAutospacing="0" w:after="0" w:afterAutospacing="0" w:line="500" w:lineRule="exact"/>
        <w:ind w:left="720" w:hanging="36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2.6</w:t>
      </w:r>
      <w:r>
        <w:rPr>
          <w:rFonts w:hint="eastAsia" w:asciiTheme="minorEastAsia" w:hAnsiTheme="minorEastAsia" w:eastAsiaTheme="minorEastAsia" w:cstheme="minorEastAsia"/>
          <w:color w:val="auto"/>
          <w:sz w:val="24"/>
          <w:szCs w:val="24"/>
          <w:highlight w:val="none"/>
        </w:rPr>
        <w:t>项目所在地省级、市级水行政主管部门发布的水土保持管理相关规定；</w:t>
      </w:r>
    </w:p>
    <w:p w14:paraId="69233A9E">
      <w:pPr>
        <w:keepNext w:val="0"/>
        <w:keepLines w:val="0"/>
        <w:widowControl/>
        <w:numPr>
          <w:ilvl w:val="0"/>
          <w:numId w:val="0"/>
        </w:numPr>
        <w:suppressLineNumbers w:val="0"/>
        <w:spacing w:before="0" w:beforeAutospacing="0" w:after="0" w:afterAutospacing="0" w:line="500" w:lineRule="exact"/>
        <w:ind w:left="720" w:hanging="36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2.7</w:t>
      </w:r>
      <w:r>
        <w:rPr>
          <w:rFonts w:hint="eastAsia" w:asciiTheme="minorEastAsia" w:hAnsiTheme="minorEastAsia" w:eastAsiaTheme="minorEastAsia" w:cstheme="minorEastAsia"/>
          <w:color w:val="auto"/>
          <w:sz w:val="24"/>
          <w:szCs w:val="24"/>
          <w:highlight w:val="none"/>
        </w:rPr>
        <w:t>国家、行业现行其他水土保持相关技术标准。</w:t>
      </w:r>
    </w:p>
    <w:p w14:paraId="48262497">
      <w:pPr>
        <w:pStyle w:val="5"/>
        <w:keepNext w:val="0"/>
        <w:keepLines w:val="0"/>
        <w:widowControl/>
        <w:suppressLineNumbers w:val="0"/>
        <w:spacing w:line="500" w:lineRule="exact"/>
        <w:rPr>
          <w:rFonts w:hint="default"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第三条 服务内容</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要求和成果交付</w:t>
      </w:r>
    </w:p>
    <w:p w14:paraId="6E398FF5">
      <w:pPr>
        <w:pStyle w:val="6"/>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w:t>
      </w:r>
      <w:r>
        <w:rPr>
          <w:rFonts w:hint="eastAsia" w:asciiTheme="minorEastAsia" w:hAnsiTheme="minorEastAsia" w:eastAsiaTheme="minorEastAsia" w:cstheme="minorEastAsia"/>
          <w:color w:val="auto"/>
          <w:highlight w:val="none"/>
          <w:lang w:val="en-US" w:eastAsia="zh-CN"/>
        </w:rPr>
        <w:t>服务内容</w:t>
      </w:r>
    </w:p>
    <w:p w14:paraId="229D2BE1">
      <w:pPr>
        <w:pStyle w:val="6"/>
        <w:keepNext w:val="0"/>
        <w:keepLines w:val="0"/>
        <w:widowControl/>
        <w:suppressLineNumbers w:val="0"/>
        <w:spacing w:line="500" w:lineRule="exact"/>
        <w:ind w:firstLine="480" w:firstLineChars="200"/>
        <w:rPr>
          <w:rFonts w:hint="eastAsia" w:asciiTheme="minorEastAsia" w:hAnsiTheme="minorEastAsia" w:eastAsiaTheme="minorEastAsia" w:cstheme="minorEastAsia"/>
          <w:b w:val="0"/>
          <w:bCs w:val="0"/>
          <w:snapToGrid w:val="0"/>
          <w:color w:val="auto"/>
          <w:kern w:val="0"/>
          <w:sz w:val="24"/>
          <w:szCs w:val="24"/>
          <w:highlight w:val="none"/>
          <w:lang w:val="en-US" w:eastAsia="en-US" w:bidi="ar-SA"/>
        </w:rPr>
      </w:pPr>
      <w:r>
        <w:rPr>
          <w:rFonts w:hint="eastAsia" w:asciiTheme="minorEastAsia" w:hAnsiTheme="minorEastAsia" w:eastAsiaTheme="minorEastAsia" w:cstheme="minorEastAsia"/>
          <w:b w:val="0"/>
          <w:bCs w:val="0"/>
          <w:snapToGrid w:val="0"/>
          <w:color w:val="auto"/>
          <w:kern w:val="0"/>
          <w:sz w:val="24"/>
          <w:szCs w:val="24"/>
          <w:highlight w:val="none"/>
          <w:lang w:val="en-US" w:eastAsia="zh-CN" w:bidi="ar-SA"/>
        </w:rPr>
        <w:t>3.1</w:t>
      </w:r>
      <w:r>
        <w:rPr>
          <w:rFonts w:hint="eastAsia" w:asciiTheme="minorEastAsia" w:hAnsiTheme="minorEastAsia" w:eastAsiaTheme="minorEastAsia" w:cstheme="minorEastAsia"/>
          <w:b w:val="0"/>
          <w:bCs w:val="0"/>
          <w:snapToGrid w:val="0"/>
          <w:color w:val="auto"/>
          <w:kern w:val="0"/>
          <w:sz w:val="24"/>
          <w:szCs w:val="24"/>
          <w:highlight w:val="none"/>
          <w:lang w:val="en-US" w:eastAsia="en-US" w:bidi="ar-SA"/>
        </w:rPr>
        <w:t>按照</w:t>
      </w:r>
      <w:r>
        <w:rPr>
          <w:rFonts w:hint="eastAsia" w:asciiTheme="minorEastAsia" w:hAnsiTheme="minorEastAsia" w:eastAsiaTheme="minorEastAsia" w:cstheme="minorEastAsia"/>
          <w:b w:val="0"/>
          <w:bCs w:val="0"/>
          <w:snapToGrid w:val="0"/>
          <w:color w:val="auto"/>
          <w:kern w:val="0"/>
          <w:sz w:val="24"/>
          <w:szCs w:val="24"/>
          <w:highlight w:val="none"/>
          <w:lang w:val="en-US" w:eastAsia="zh-CN" w:bidi="ar-SA"/>
        </w:rPr>
        <w:t>发包人</w:t>
      </w:r>
      <w:r>
        <w:rPr>
          <w:rFonts w:hint="eastAsia" w:asciiTheme="minorEastAsia" w:hAnsiTheme="minorEastAsia" w:eastAsiaTheme="minorEastAsia" w:cstheme="minorEastAsia"/>
          <w:b w:val="0"/>
          <w:bCs w:val="0"/>
          <w:snapToGrid w:val="0"/>
          <w:color w:val="auto"/>
          <w:kern w:val="0"/>
          <w:sz w:val="24"/>
          <w:szCs w:val="24"/>
          <w:highlight w:val="none"/>
          <w:lang w:val="en-US" w:eastAsia="en-US" w:bidi="ar-SA"/>
        </w:rPr>
        <w:t>要求和委托的目的，根据水行政主管部门对项目审批的有关要求和国家有关法律、法规和行业规范，</w:t>
      </w:r>
      <w:r>
        <w:rPr>
          <w:rFonts w:hint="eastAsia" w:asciiTheme="minorEastAsia" w:hAnsiTheme="minorEastAsia" w:eastAsiaTheme="minorEastAsia" w:cstheme="minorEastAsia"/>
          <w:b w:val="0"/>
          <w:bCs w:val="0"/>
          <w:snapToGrid w:val="0"/>
          <w:color w:val="auto"/>
          <w:kern w:val="0"/>
          <w:sz w:val="24"/>
          <w:szCs w:val="24"/>
          <w:highlight w:val="none"/>
          <w:lang w:val="en-US" w:eastAsia="zh-CN" w:bidi="ar-SA"/>
        </w:rPr>
        <w:t>承包人</w:t>
      </w:r>
      <w:r>
        <w:rPr>
          <w:rFonts w:hint="eastAsia" w:asciiTheme="minorEastAsia" w:hAnsiTheme="minorEastAsia" w:eastAsiaTheme="minorEastAsia" w:cstheme="minorEastAsia"/>
          <w:b w:val="0"/>
          <w:bCs w:val="0"/>
          <w:snapToGrid w:val="0"/>
          <w:color w:val="auto"/>
          <w:kern w:val="0"/>
          <w:sz w:val="24"/>
          <w:szCs w:val="24"/>
          <w:highlight w:val="none"/>
          <w:lang w:val="en-US" w:eastAsia="en-US" w:bidi="ar-SA"/>
        </w:rPr>
        <w:t>开展佛山顺德粤港澳协同发展合作区排水管网建设及改造工程（二期、三期、四期）水土保持监测技术服务工作。</w:t>
      </w:r>
    </w:p>
    <w:p w14:paraId="21CA1CC7">
      <w:pPr>
        <w:pStyle w:val="6"/>
        <w:keepNext w:val="0"/>
        <w:keepLines w:val="0"/>
        <w:widowControl/>
        <w:suppressLineNumbers w:val="0"/>
        <w:spacing w:line="500" w:lineRule="exact"/>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二</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服务要求</w:t>
      </w:r>
    </w:p>
    <w:p w14:paraId="2D6A6BE2">
      <w:pPr>
        <w:pStyle w:val="6"/>
        <w:keepNext w:val="0"/>
        <w:keepLines w:val="0"/>
        <w:widowControl/>
        <w:suppressLineNumbers w:val="0"/>
        <w:spacing w:line="500" w:lineRule="exact"/>
        <w:ind w:firstLine="480" w:firstLineChars="200"/>
        <w:rPr>
          <w:rFonts w:hint="eastAsia" w:asciiTheme="minorEastAsia" w:hAnsiTheme="minorEastAsia" w:eastAsiaTheme="minorEastAsia" w:cstheme="minorEastAsia"/>
          <w:b w:val="0"/>
          <w:bCs w:val="0"/>
          <w:color w:val="auto"/>
          <w:kern w:val="0"/>
          <w:sz w:val="24"/>
          <w:szCs w:val="24"/>
          <w:highlight w:val="none"/>
          <w:lang w:val="en-US" w:eastAsia="en-US"/>
        </w:rPr>
      </w:pPr>
      <w:r>
        <w:rPr>
          <w:rFonts w:hint="eastAsia" w:asciiTheme="minorEastAsia" w:hAnsiTheme="minorEastAsia" w:eastAsiaTheme="minorEastAsia" w:cstheme="minorEastAsia"/>
          <w:b w:val="0"/>
          <w:bCs w:val="0"/>
          <w:color w:val="auto"/>
          <w:kern w:val="0"/>
          <w:sz w:val="24"/>
          <w:szCs w:val="24"/>
          <w:highlight w:val="none"/>
          <w:lang w:val="en-US" w:eastAsia="en-US"/>
        </w:rPr>
        <w:t>3.2.1</w:t>
      </w:r>
      <w:r>
        <w:rPr>
          <w:rFonts w:hint="eastAsia" w:asciiTheme="minorEastAsia" w:hAnsiTheme="minorEastAsia" w:eastAsiaTheme="minorEastAsia" w:cstheme="minorEastAsia"/>
          <w:b w:val="0"/>
          <w:bCs w:val="0"/>
          <w:color w:val="auto"/>
          <w:kern w:val="0"/>
          <w:sz w:val="24"/>
          <w:szCs w:val="24"/>
          <w:highlight w:val="none"/>
          <w:lang w:val="en-US" w:eastAsia="zh-CN"/>
        </w:rPr>
        <w:t>承包人</w:t>
      </w:r>
      <w:r>
        <w:rPr>
          <w:rFonts w:hint="eastAsia" w:asciiTheme="minorEastAsia" w:hAnsiTheme="minorEastAsia" w:eastAsiaTheme="minorEastAsia" w:cstheme="minorEastAsia"/>
          <w:b w:val="0"/>
          <w:bCs w:val="0"/>
          <w:color w:val="auto"/>
          <w:kern w:val="0"/>
          <w:sz w:val="24"/>
          <w:szCs w:val="24"/>
          <w:highlight w:val="none"/>
          <w:lang w:val="en-US" w:eastAsia="en-US"/>
        </w:rPr>
        <w:t>在符合国家有关法律、法规、行业有关规程、规范及水行政主管部门要求的前提下，开展相应的工作，为工程的建设和审批提供必要的科学依据；</w:t>
      </w:r>
    </w:p>
    <w:p w14:paraId="552D8BAF">
      <w:pPr>
        <w:pStyle w:val="6"/>
        <w:keepNext w:val="0"/>
        <w:keepLines w:val="0"/>
        <w:widowControl/>
        <w:suppressLineNumbers w:val="0"/>
        <w:spacing w:line="500" w:lineRule="exact"/>
        <w:ind w:firstLine="480" w:firstLineChars="200"/>
        <w:rPr>
          <w:rFonts w:hint="eastAsia" w:asciiTheme="minorEastAsia" w:hAnsiTheme="minorEastAsia" w:eastAsiaTheme="minorEastAsia" w:cstheme="minorEastAsia"/>
          <w:b w:val="0"/>
          <w:bCs w:val="0"/>
          <w:color w:val="auto"/>
          <w:kern w:val="0"/>
          <w:sz w:val="24"/>
          <w:szCs w:val="24"/>
          <w:highlight w:val="none"/>
          <w:lang w:val="en-US" w:eastAsia="en-US"/>
        </w:rPr>
      </w:pPr>
      <w:r>
        <w:rPr>
          <w:rFonts w:hint="eastAsia" w:asciiTheme="minorEastAsia" w:hAnsiTheme="minorEastAsia" w:eastAsiaTheme="minorEastAsia" w:cstheme="minorEastAsia"/>
          <w:b w:val="0"/>
          <w:bCs w:val="0"/>
          <w:color w:val="auto"/>
          <w:kern w:val="0"/>
          <w:sz w:val="24"/>
          <w:szCs w:val="24"/>
          <w:highlight w:val="none"/>
          <w:lang w:val="en-US" w:eastAsia="zh-CN"/>
        </w:rPr>
        <w:t>3.2.2承包人</w:t>
      </w:r>
      <w:r>
        <w:rPr>
          <w:rFonts w:hint="eastAsia" w:asciiTheme="minorEastAsia" w:hAnsiTheme="minorEastAsia" w:eastAsiaTheme="minorEastAsia" w:cstheme="minorEastAsia"/>
          <w:b w:val="0"/>
          <w:bCs w:val="0"/>
          <w:color w:val="auto"/>
          <w:kern w:val="0"/>
          <w:sz w:val="24"/>
          <w:szCs w:val="24"/>
          <w:highlight w:val="none"/>
          <w:lang w:val="en-US" w:eastAsia="en-US"/>
        </w:rPr>
        <w:t>保证编制的报告及其他咨询研究成果符合国家有关法律、法规、行业有关规程、规范的要求，满足有关部门审查的要求。</w:t>
      </w:r>
    </w:p>
    <w:p w14:paraId="14B3275A">
      <w:pPr>
        <w:pStyle w:val="6"/>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三</w:t>
      </w:r>
      <w:r>
        <w:rPr>
          <w:rFonts w:hint="eastAsia" w:asciiTheme="minorEastAsia" w:hAnsiTheme="minorEastAsia" w:eastAsiaTheme="minorEastAsia" w:cstheme="minorEastAsia"/>
          <w:color w:val="auto"/>
          <w:highlight w:val="none"/>
        </w:rPr>
        <w:t>）成果交付</w:t>
      </w:r>
    </w:p>
    <w:p w14:paraId="50529452">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3.3.1</w:t>
      </w:r>
      <w:r>
        <w:rPr>
          <w:rFonts w:hint="eastAsia" w:asciiTheme="minorEastAsia" w:hAnsiTheme="minorEastAsia" w:eastAsiaTheme="minorEastAsia" w:cstheme="minorEastAsia"/>
          <w:color w:val="auto"/>
          <w:sz w:val="24"/>
          <w:szCs w:val="24"/>
          <w:highlight w:val="none"/>
        </w:rPr>
        <w:t>水土保持监测实施方案：纸质____套、PDF+可编辑电子版____套；</w:t>
      </w:r>
    </w:p>
    <w:p w14:paraId="04ADC644">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3.3.2</w:t>
      </w:r>
      <w:r>
        <w:rPr>
          <w:rFonts w:hint="eastAsia" w:asciiTheme="minorEastAsia" w:hAnsiTheme="minorEastAsia" w:eastAsiaTheme="minorEastAsia" w:cstheme="minorEastAsia"/>
          <w:color w:val="auto"/>
          <w:sz w:val="24"/>
          <w:szCs w:val="24"/>
          <w:highlight w:val="none"/>
        </w:rPr>
        <w:t>监测季报、年度监测报告：每期纸质____套、PDF+可编辑电子版____套；</w:t>
      </w:r>
    </w:p>
    <w:p w14:paraId="10819C3A">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3.3.3</w:t>
      </w:r>
      <w:r>
        <w:rPr>
          <w:rFonts w:hint="eastAsia" w:asciiTheme="minorEastAsia" w:hAnsiTheme="minorEastAsia" w:eastAsiaTheme="minorEastAsia" w:cstheme="minorEastAsia"/>
          <w:color w:val="auto"/>
          <w:sz w:val="24"/>
          <w:szCs w:val="24"/>
          <w:highlight w:val="none"/>
        </w:rPr>
        <w:t>水土保持监测总结报告及全套监测原始台账资料：纸质____套、PDF+可编辑电子版____套；</w:t>
      </w:r>
    </w:p>
    <w:p w14:paraId="6B841C5C">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3.3.4</w:t>
      </w:r>
      <w:r>
        <w:rPr>
          <w:rFonts w:hint="eastAsia" w:asciiTheme="minorEastAsia" w:hAnsiTheme="minorEastAsia" w:eastAsiaTheme="minorEastAsia" w:cstheme="minorEastAsia"/>
          <w:color w:val="auto"/>
          <w:sz w:val="24"/>
          <w:szCs w:val="24"/>
          <w:highlight w:val="none"/>
        </w:rPr>
        <w:t>交付时限：</w:t>
      </w:r>
      <w:r>
        <w:rPr>
          <w:rFonts w:hint="eastAsia" w:asciiTheme="minorEastAsia" w:hAnsiTheme="minorEastAsia" w:eastAsiaTheme="minorEastAsia" w:cstheme="minorEastAsia"/>
          <w:color w:val="auto"/>
          <w:sz w:val="24"/>
          <w:szCs w:val="24"/>
          <w:highlight w:val="none"/>
          <w:lang w:val="en-US" w:eastAsia="zh-CN"/>
        </w:rPr>
        <w:t>合同签订之日或项目签发正式开工通知</w:t>
      </w:r>
      <w:r>
        <w:rPr>
          <w:rFonts w:hint="eastAsia" w:asciiTheme="minorEastAsia" w:hAnsiTheme="minorEastAsia" w:eastAsiaTheme="minorEastAsia" w:cstheme="minorEastAsia"/>
          <w:color w:val="auto"/>
          <w:sz w:val="24"/>
          <w:szCs w:val="24"/>
          <w:highlight w:val="none"/>
        </w:rPr>
        <w:t>后15个工作日内</w:t>
      </w:r>
      <w:r>
        <w:rPr>
          <w:rFonts w:hint="eastAsia" w:asciiTheme="minorEastAsia" w:hAnsiTheme="minorEastAsia" w:eastAsiaTheme="minorEastAsia" w:cstheme="minorEastAsia"/>
          <w:color w:val="auto"/>
          <w:sz w:val="24"/>
          <w:szCs w:val="24"/>
          <w:highlight w:val="none"/>
          <w:lang w:val="en-US" w:eastAsia="zh-CN"/>
        </w:rPr>
        <w:t>承包人</w:t>
      </w:r>
      <w:r>
        <w:rPr>
          <w:rFonts w:hint="eastAsia" w:asciiTheme="minorEastAsia" w:hAnsiTheme="minorEastAsia" w:eastAsiaTheme="minorEastAsia" w:cstheme="minorEastAsia"/>
          <w:color w:val="auto"/>
          <w:sz w:val="24"/>
          <w:szCs w:val="24"/>
          <w:highlight w:val="none"/>
        </w:rPr>
        <w:t>制定《水土保持监测实施方案》</w:t>
      </w:r>
      <w:r>
        <w:rPr>
          <w:rFonts w:hint="eastAsia" w:asciiTheme="minorEastAsia" w:hAnsiTheme="minorEastAsia" w:eastAsiaTheme="minorEastAsia" w:cstheme="minorEastAsia"/>
          <w:color w:val="auto"/>
          <w:sz w:val="24"/>
          <w:szCs w:val="24"/>
          <w:highlight w:val="none"/>
          <w:lang w:eastAsia="zh-CN"/>
        </w:rPr>
        <w:t>并报</w:t>
      </w:r>
      <w:r>
        <w:rPr>
          <w:rFonts w:hint="eastAsia" w:asciiTheme="minorEastAsia" w:hAnsiTheme="minorEastAsia" w:eastAsiaTheme="minorEastAsia" w:cstheme="minorEastAsia"/>
          <w:color w:val="auto"/>
          <w:sz w:val="24"/>
          <w:szCs w:val="24"/>
          <w:highlight w:val="none"/>
          <w:lang w:val="en-US" w:eastAsia="zh-CN"/>
        </w:rPr>
        <w:t>发包人</w:t>
      </w:r>
      <w:r>
        <w:rPr>
          <w:rFonts w:hint="eastAsia" w:asciiTheme="minorEastAsia" w:hAnsiTheme="minorEastAsia" w:eastAsiaTheme="minorEastAsia" w:cstheme="minorEastAsia"/>
          <w:color w:val="auto"/>
          <w:sz w:val="24"/>
          <w:szCs w:val="24"/>
          <w:highlight w:val="none"/>
          <w:lang w:eastAsia="zh-CN"/>
        </w:rPr>
        <w:t>审查；若合同签订时项目已开工建设的，</w:t>
      </w:r>
      <w:r>
        <w:rPr>
          <w:rFonts w:hint="eastAsia" w:asciiTheme="minorEastAsia" w:hAnsiTheme="minorEastAsia" w:eastAsiaTheme="minorEastAsia" w:cstheme="minorEastAsia"/>
          <w:color w:val="auto"/>
          <w:sz w:val="24"/>
          <w:szCs w:val="24"/>
          <w:highlight w:val="none"/>
          <w:lang w:val="en-US" w:eastAsia="zh-CN"/>
        </w:rPr>
        <w:t>承包人</w:t>
      </w:r>
      <w:r>
        <w:rPr>
          <w:rFonts w:hint="eastAsia" w:asciiTheme="minorEastAsia" w:hAnsiTheme="minorEastAsia" w:eastAsiaTheme="minorEastAsia" w:cstheme="minorEastAsia"/>
          <w:color w:val="auto"/>
          <w:sz w:val="24"/>
          <w:szCs w:val="24"/>
          <w:highlight w:val="none"/>
          <w:lang w:eastAsia="zh-CN"/>
        </w:rPr>
        <w:t>还应进行前期水土保持影响分析</w:t>
      </w:r>
      <w:r>
        <w:rPr>
          <w:rFonts w:hint="eastAsia" w:asciiTheme="minorEastAsia" w:hAnsiTheme="minorEastAsia" w:eastAsiaTheme="minorEastAsia" w:cstheme="minorEastAsia"/>
          <w:color w:val="auto"/>
          <w:sz w:val="24"/>
          <w:szCs w:val="24"/>
          <w:highlight w:val="none"/>
        </w:rPr>
        <w:t>；项目建设期间</w:t>
      </w:r>
      <w:r>
        <w:rPr>
          <w:rFonts w:hint="eastAsia" w:asciiTheme="minorEastAsia" w:hAnsiTheme="minorEastAsia" w:eastAsiaTheme="minorEastAsia" w:cstheme="minorEastAsia"/>
          <w:color w:val="auto"/>
          <w:sz w:val="24"/>
          <w:szCs w:val="24"/>
          <w:highlight w:val="none"/>
          <w:lang w:val="en-US" w:eastAsia="zh-CN"/>
        </w:rPr>
        <w:t>承包人应</w:t>
      </w:r>
      <w:r>
        <w:rPr>
          <w:rFonts w:hint="eastAsia" w:asciiTheme="minorEastAsia" w:hAnsiTheme="minorEastAsia" w:eastAsiaTheme="minorEastAsia" w:cstheme="minorEastAsia"/>
          <w:color w:val="auto"/>
          <w:sz w:val="24"/>
          <w:szCs w:val="24"/>
          <w:highlight w:val="none"/>
        </w:rPr>
        <w:t>同步开展监测工作，并于每季度的第一个月</w:t>
      </w:r>
      <w:r>
        <w:rPr>
          <w:rFonts w:hint="eastAsia" w:asciiTheme="minorEastAsia" w:hAnsiTheme="minorEastAsia" w:eastAsiaTheme="minorEastAsia" w:cstheme="minorEastAsia"/>
          <w:color w:val="auto"/>
          <w:sz w:val="24"/>
          <w:szCs w:val="24"/>
          <w:highlight w:val="none"/>
          <w:lang w:eastAsia="zh-CN"/>
        </w:rPr>
        <w:t>向</w:t>
      </w:r>
      <w:r>
        <w:rPr>
          <w:rFonts w:hint="eastAsia" w:asciiTheme="minorEastAsia" w:hAnsiTheme="minorEastAsia" w:eastAsiaTheme="minorEastAsia" w:cstheme="minorEastAsia"/>
          <w:color w:val="auto"/>
          <w:sz w:val="24"/>
          <w:szCs w:val="24"/>
          <w:highlight w:val="none"/>
          <w:lang w:val="en-US" w:eastAsia="zh-CN"/>
        </w:rPr>
        <w:t>发包人</w:t>
      </w:r>
      <w:r>
        <w:rPr>
          <w:rFonts w:hint="eastAsia" w:asciiTheme="minorEastAsia" w:hAnsiTheme="minorEastAsia" w:eastAsiaTheme="minorEastAsia" w:cstheme="minorEastAsia"/>
          <w:color w:val="auto"/>
          <w:sz w:val="24"/>
          <w:szCs w:val="24"/>
          <w:highlight w:val="none"/>
          <w:lang w:eastAsia="zh-CN"/>
        </w:rPr>
        <w:t>以及当地（包括区级以及镇街）水土保持监督管理部门报</w:t>
      </w:r>
      <w:r>
        <w:rPr>
          <w:rFonts w:hint="eastAsia" w:asciiTheme="minorEastAsia" w:hAnsiTheme="minorEastAsia" w:eastAsiaTheme="minorEastAsia" w:cstheme="minorEastAsia"/>
          <w:color w:val="auto"/>
          <w:sz w:val="24"/>
          <w:szCs w:val="24"/>
          <w:highlight w:val="none"/>
        </w:rPr>
        <w:t>送上一季度的《水土保持监测季度报告》；水土保持监测任务完成后30个工作日内完成《水土保持监测总结报告》。</w:t>
      </w:r>
    </w:p>
    <w:p w14:paraId="79107195">
      <w:pPr>
        <w:pStyle w:val="5"/>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第四条 合同服务期限</w:t>
      </w:r>
    </w:p>
    <w:p w14:paraId="3B7117B5">
      <w:pPr>
        <w:pStyle w:val="5"/>
        <w:keepNext w:val="0"/>
        <w:keepLines w:val="0"/>
        <w:widowControl/>
        <w:suppressLineNumbers w:val="0"/>
        <w:spacing w:line="500" w:lineRule="exact"/>
        <w:ind w:firstLine="480" w:firstLineChars="200"/>
        <w:rPr>
          <w:rFonts w:hint="eastAsia" w:asciiTheme="minorEastAsia" w:hAnsiTheme="minorEastAsia" w:eastAsiaTheme="minorEastAsia" w:cstheme="minorEastAsia"/>
          <w:b w:val="0"/>
          <w:bCs w:val="0"/>
          <w:color w:val="auto"/>
          <w:kern w:val="0"/>
          <w:sz w:val="24"/>
          <w:szCs w:val="24"/>
          <w:highlight w:val="none"/>
          <w:lang w:eastAsia="zh-CN"/>
        </w:rPr>
      </w:pPr>
      <w:r>
        <w:rPr>
          <w:rFonts w:hint="eastAsia" w:asciiTheme="minorEastAsia" w:hAnsiTheme="minorEastAsia" w:eastAsiaTheme="minorEastAsia" w:cstheme="minorEastAsia"/>
          <w:b w:val="0"/>
          <w:bCs w:val="0"/>
          <w:color w:val="auto"/>
          <w:kern w:val="0"/>
          <w:sz w:val="24"/>
          <w:szCs w:val="24"/>
          <w:highlight w:val="none"/>
          <w:lang w:eastAsia="zh-CN"/>
        </w:rPr>
        <w:t>合同签订后，项目开工至竣工验收且向行政主管部门提交备案资料并满足行政主管部门核查资料要求为止。 因发包人施工延期、停工、资料滞后、政策调整、主管部门审查原因造成工期延长，监测服务期限相应顺延。</w:t>
      </w:r>
    </w:p>
    <w:p w14:paraId="271516C3">
      <w:pPr>
        <w:pStyle w:val="5"/>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第五条 合同价款及支付方式</w:t>
      </w:r>
    </w:p>
    <w:p w14:paraId="345809E8">
      <w:pPr>
        <w:keepNext w:val="0"/>
        <w:keepLines w:val="0"/>
        <w:widowControl/>
        <w:numPr>
          <w:ilvl w:val="0"/>
          <w:numId w:val="0"/>
        </w:numPr>
        <w:suppressLineNumbers w:val="0"/>
        <w:spacing w:before="0" w:beforeAutospacing="0" w:after="0" w:afterAutospacing="0" w:line="500" w:lineRule="exact"/>
        <w:ind w:left="0" w:firstLine="480" w:firstLineChars="200"/>
        <w:rPr>
          <w:rFonts w:hint="default"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5.1合同价格</w:t>
      </w:r>
    </w:p>
    <w:p w14:paraId="60982526">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5.1</w:t>
      </w:r>
      <w:r>
        <w:rPr>
          <w:rFonts w:hint="eastAsia" w:asciiTheme="minorEastAsia" w:hAnsiTheme="minorEastAsia" w:eastAsiaTheme="minorEastAsia" w:cstheme="minorEastAsia"/>
          <w:snapToGrid w:val="0"/>
          <w:color w:val="auto"/>
          <w:kern w:val="0"/>
          <w:sz w:val="24"/>
          <w:szCs w:val="24"/>
          <w:highlight w:val="none"/>
          <w:lang w:val="en-US" w:eastAsia="en-US" w:bidi="ar-SA"/>
        </w:rPr>
        <w:t>.</w:t>
      </w:r>
      <w:r>
        <w:rPr>
          <w:rFonts w:hint="eastAsia" w:asciiTheme="minorEastAsia" w:hAnsiTheme="minorEastAsia" w:eastAsiaTheme="minorEastAsia" w:cstheme="minorEastAsia"/>
          <w:snapToGrid w:val="0"/>
          <w:color w:val="auto"/>
          <w:kern w:val="0"/>
          <w:sz w:val="24"/>
          <w:szCs w:val="24"/>
          <w:highlight w:val="none"/>
          <w:lang w:val="en-US" w:eastAsia="zh-CN" w:bidi="ar-SA"/>
        </w:rPr>
        <w:t>1</w:t>
      </w:r>
      <w:r>
        <w:rPr>
          <w:rFonts w:hint="eastAsia" w:asciiTheme="minorEastAsia" w:hAnsiTheme="minorEastAsia" w:eastAsiaTheme="minorEastAsia" w:cstheme="minorEastAsia"/>
          <w:color w:val="auto"/>
          <w:sz w:val="24"/>
          <w:szCs w:val="24"/>
          <w:highlight w:val="none"/>
          <w:lang w:val="en-US" w:eastAsia="zh-CN"/>
        </w:rPr>
        <w:t>签约合同价</w:t>
      </w:r>
      <w:r>
        <w:rPr>
          <w:rFonts w:hint="eastAsia" w:asciiTheme="minorEastAsia" w:hAnsiTheme="minorEastAsia" w:eastAsiaTheme="minorEastAsia" w:cstheme="minorEastAsia"/>
          <w:color w:val="auto"/>
          <w:sz w:val="24"/>
          <w:szCs w:val="24"/>
          <w:highlight w:val="none"/>
        </w:rPr>
        <w:t xml:space="preserve">：人民币________元（大写：________________元整）。 </w:t>
      </w:r>
    </w:p>
    <w:p w14:paraId="781A3C5C">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5.1.2履约保证金金额：签约合同价的10% 。</w:t>
      </w:r>
    </w:p>
    <w:p w14:paraId="111745AF">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履约保证金形式：采用现金（或支票）或国有商业银行或股份制商业银行保函或佛山市内国有担保公司的专业担保保函或工程保险保证保单。承包人出具，且保函要求为不可撤销和见索即付。</w:t>
      </w:r>
    </w:p>
    <w:p w14:paraId="50F7AEF9">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银行保函的银行级别：国有商业银行或股份制商业银行,且正式出具前须将银行保函格式送发包人审核同意，否则发包人有权不予接受。</w:t>
      </w:r>
    </w:p>
    <w:p w14:paraId="6FC52D97">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履约保证金提交时限：在本合同签订后 30 个工作日内提交。</w:t>
      </w:r>
    </w:p>
    <w:p w14:paraId="0654C999">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履约担保的有效期：承包人应保证其履约担保在本项目全部服务内容和义务履行完毕前一直有效。若履约保函有效期届满，本项目全部服务内容和义务仍未全部履行完毕的，承包人必须无条件在保函到期前的30天内将保函（或工程保险保证保单）续期或者重新开具保函（或工程保险保证保单），保函期限至本项目全部服务内容和义务履行完毕。执行本条各项要求所需的费用由承包人承担。</w:t>
      </w:r>
    </w:p>
    <w:p w14:paraId="201502A5">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履约担保退回时间：本项目经发包人确认承包人本合同全部服务内容和义务履行完毕且结清违约金后的30个日历天内，将履约担保款项（无息）退还给承包人。</w:t>
      </w:r>
    </w:p>
    <w:p w14:paraId="093BDAA8">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5.</w:t>
      </w:r>
      <w:r>
        <w:rPr>
          <w:rFonts w:hint="eastAsia" w:asciiTheme="minorEastAsia" w:hAnsiTheme="minorEastAsia" w:eastAsiaTheme="minorEastAsia" w:cstheme="minorEastAsia"/>
          <w:snapToGrid w:val="0"/>
          <w:color w:val="auto"/>
          <w:kern w:val="0"/>
          <w:sz w:val="24"/>
          <w:szCs w:val="24"/>
          <w:highlight w:val="none"/>
          <w:lang w:val="en-US" w:eastAsia="en-US" w:bidi="ar-SA"/>
        </w:rPr>
        <w:t>2</w:t>
      </w:r>
      <w:r>
        <w:rPr>
          <w:rFonts w:hint="eastAsia" w:asciiTheme="minorEastAsia" w:hAnsiTheme="minorEastAsia" w:eastAsiaTheme="minorEastAsia" w:cstheme="minorEastAsia"/>
          <w:color w:val="auto"/>
          <w:sz w:val="24"/>
          <w:szCs w:val="24"/>
          <w:highlight w:val="none"/>
        </w:rPr>
        <w:t>支付方式</w:t>
      </w:r>
    </w:p>
    <w:p w14:paraId="6B15AC1E">
      <w:pPr>
        <w:numPr>
          <w:ilvl w:val="0"/>
          <w:numId w:val="0"/>
        </w:numPr>
        <w:spacing w:line="500" w:lineRule="exact"/>
        <w:ind w:left="0"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5.2.1承包人提交本项目包含的全部五个项目的《水土保持监测实施方案》后20个工作日内，发包人支付签约合同总价的30%作为水土保持监测费首期款。</w:t>
      </w:r>
    </w:p>
    <w:p w14:paraId="18AE5435">
      <w:pPr>
        <w:numPr>
          <w:ilvl w:val="0"/>
          <w:numId w:val="0"/>
        </w:numPr>
        <w:spacing w:line="500" w:lineRule="exact"/>
        <w:ind w:left="0"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5.2.2承包人提交本项目包含的全部五个项目的第四期《水土保持监测季度报告（表）》后20个工作日内，发包人支付合同总额的30%作为水土保持监测费进度款。</w:t>
      </w:r>
    </w:p>
    <w:p w14:paraId="1704C309">
      <w:pPr>
        <w:numPr>
          <w:ilvl w:val="0"/>
          <w:numId w:val="0"/>
        </w:numPr>
        <w:spacing w:line="500" w:lineRule="exact"/>
        <w:ind w:left="0"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5.2.3承包人提交本项目包含的全部五个项目的《水土保持监测总结报告》且向行政主管部门提交备案资料并满足行政主管部门核查资料要求后20个工作日内，发包人支付合同尾款。</w:t>
      </w:r>
    </w:p>
    <w:p w14:paraId="174E1F20">
      <w:pPr>
        <w:numPr>
          <w:ilvl w:val="0"/>
          <w:numId w:val="0"/>
        </w:numPr>
        <w:spacing w:line="500" w:lineRule="exact"/>
        <w:ind w:left="0" w:firstLine="480" w:firstLineChars="200"/>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5.2.4本项目结算时以招标控制价（最高投标限价）作为本合同的结算上限价，若监测费用超出招标控制价（最高投标限价），则以招标控制价（最高投标限价）作为结算价，承包人承诺本合同价包含了项目的推进需要及为完成竣工验收的所有必要监测。</w:t>
      </w:r>
    </w:p>
    <w:p w14:paraId="6B30AC28">
      <w:pPr>
        <w:numPr>
          <w:ilvl w:val="0"/>
          <w:numId w:val="0"/>
        </w:numPr>
        <w:spacing w:line="500" w:lineRule="exact"/>
        <w:ind w:left="0"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5.2.5承包人向发包人提交了支付申请以及开具相应金额合规的增值税专用发票后，发包人向上级部门办理相关手续并在收到该项目的财政拨款后向承包人办理所申请费用的支付手续。</w:t>
      </w:r>
    </w:p>
    <w:p w14:paraId="2D9D3B2E">
      <w:pPr>
        <w:numPr>
          <w:ilvl w:val="0"/>
          <w:numId w:val="0"/>
        </w:numPr>
        <w:spacing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en-US"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5.2.6</w:t>
      </w:r>
      <w:r>
        <w:rPr>
          <w:rFonts w:hint="eastAsia" w:asciiTheme="minorEastAsia" w:hAnsiTheme="minorEastAsia" w:eastAsiaTheme="minorEastAsia" w:cstheme="minorEastAsia"/>
          <w:snapToGrid w:val="0"/>
          <w:color w:val="auto"/>
          <w:kern w:val="0"/>
          <w:sz w:val="24"/>
          <w:szCs w:val="24"/>
          <w:highlight w:val="none"/>
          <w:lang w:val="en-US" w:eastAsia="en-US" w:bidi="ar-SA"/>
        </w:rPr>
        <w:t>因本项目属于财政性资金，发包人的支付须经过财政部门审批，承包人须考虑相关部门审批时间，并不得以此向发包人提出索赔。本合同约定由发包人支付的任何款项，因承包人的原因导致延期付款的，发包人不承担任何责任；因发包人申请财政部门付款程序中受到了非发包人原因产生的阻碍导致逾期付款的，不应视为发包人违约，发包人无需承担违约责任。</w:t>
      </w:r>
    </w:p>
    <w:p w14:paraId="77317CBA">
      <w:pPr>
        <w:pStyle w:val="8"/>
        <w:spacing w:line="500" w:lineRule="exact"/>
        <w:rPr>
          <w:rFonts w:hint="eastAsia" w:asciiTheme="minorEastAsia" w:hAnsiTheme="minorEastAsia" w:eastAsiaTheme="minorEastAsia" w:cstheme="minorEastAsia"/>
          <w:color w:val="auto"/>
          <w:sz w:val="24"/>
          <w:szCs w:val="24"/>
          <w:highlight w:val="none"/>
          <w:lang w:val="en-US" w:eastAsia="en-US"/>
        </w:rPr>
      </w:pPr>
      <w:r>
        <w:rPr>
          <w:rFonts w:hint="eastAsia" w:asciiTheme="minorEastAsia" w:hAnsiTheme="minorEastAsia" w:eastAsiaTheme="minorEastAsia" w:cstheme="minorEastAsia"/>
          <w:snapToGrid w:val="0"/>
          <w:color w:val="auto"/>
          <w:kern w:val="0"/>
          <w:sz w:val="24"/>
          <w:szCs w:val="24"/>
          <w:highlight w:val="none"/>
          <w:lang w:val="en-US" w:eastAsia="en-US" w:bidi="ar-SA"/>
        </w:rPr>
        <w:t>5.2.</w:t>
      </w:r>
      <w:r>
        <w:rPr>
          <w:rFonts w:hint="eastAsia" w:asciiTheme="minorEastAsia" w:hAnsiTheme="minorEastAsia" w:eastAsiaTheme="minorEastAsia" w:cstheme="minorEastAsia"/>
          <w:snapToGrid w:val="0"/>
          <w:color w:val="auto"/>
          <w:kern w:val="0"/>
          <w:sz w:val="24"/>
          <w:szCs w:val="24"/>
          <w:highlight w:val="none"/>
          <w:lang w:val="en-US" w:eastAsia="zh-CN" w:bidi="ar-SA"/>
        </w:rPr>
        <w:t>7</w:t>
      </w:r>
      <w:r>
        <w:rPr>
          <w:rFonts w:hint="eastAsia" w:asciiTheme="minorEastAsia" w:hAnsiTheme="minorEastAsia" w:eastAsiaTheme="minorEastAsia" w:cstheme="minorEastAsia"/>
          <w:snapToGrid w:val="0"/>
          <w:color w:val="auto"/>
          <w:kern w:val="0"/>
          <w:sz w:val="24"/>
          <w:szCs w:val="24"/>
          <w:highlight w:val="none"/>
          <w:lang w:val="en-US" w:eastAsia="en-US" w:bidi="ar-SA"/>
        </w:rPr>
        <w:t>发包人有权根据实际情况对招标工程量进行调整，因工程量减少或取消导致服务费用调减的，发包人不予费用补偿，承包人已在投标报价时综合考虑。</w:t>
      </w:r>
    </w:p>
    <w:p w14:paraId="095BC374">
      <w:pPr>
        <w:pStyle w:val="5"/>
        <w:keepNext w:val="0"/>
        <w:keepLines w:val="0"/>
        <w:widowControl/>
        <w:suppressLineNumbers w:val="0"/>
        <w:spacing w:line="500" w:lineRule="exact"/>
        <w:ind w:firstLine="482" w:firstLineChars="200"/>
        <w:rPr>
          <w:rFonts w:hint="eastAsia" w:asciiTheme="minorEastAsia" w:hAnsiTheme="minorEastAsia" w:eastAsiaTheme="minorEastAsia" w:cstheme="minorEastAsia"/>
          <w:b/>
          <w:bCs/>
          <w:color w:val="auto"/>
          <w:kern w:val="0"/>
          <w:sz w:val="24"/>
          <w:szCs w:val="24"/>
          <w:highlight w:val="none"/>
          <w:lang w:val="en-US" w:eastAsia="en-US"/>
        </w:rPr>
      </w:pPr>
      <w:r>
        <w:rPr>
          <w:rFonts w:hint="eastAsia" w:asciiTheme="minorEastAsia" w:hAnsiTheme="minorEastAsia" w:eastAsiaTheme="minorEastAsia" w:cstheme="minorEastAsia"/>
          <w:b/>
          <w:bCs/>
          <w:color w:val="auto"/>
          <w:kern w:val="0"/>
          <w:sz w:val="24"/>
          <w:szCs w:val="24"/>
          <w:highlight w:val="none"/>
          <w:lang w:val="en-US" w:eastAsia="zh-CN"/>
        </w:rPr>
        <w:t>5.2.8</w:t>
      </w:r>
      <w:r>
        <w:rPr>
          <w:rFonts w:hint="eastAsia" w:asciiTheme="minorEastAsia" w:hAnsiTheme="minorEastAsia" w:eastAsiaTheme="minorEastAsia" w:cstheme="minorEastAsia"/>
          <w:b/>
          <w:bCs/>
          <w:color w:val="auto"/>
          <w:kern w:val="0"/>
          <w:sz w:val="24"/>
          <w:szCs w:val="24"/>
          <w:highlight w:val="none"/>
          <w:lang w:eastAsia="en-US"/>
        </w:rPr>
        <w:t>本项目推进过程中发生承包人违约情形的，须在每期进度款收取前由承包人根据发包人书面通知在限期内以实缴方式向发包人支付，逾期发包人有权暂停支付进度款，承包人不得以违约金延迟支付引起进度款延误收取的情形进行抗辩，由此出现承包人未按发包人要求时限或未按合同质量要求完成</w:t>
      </w:r>
      <w:r>
        <w:rPr>
          <w:rFonts w:hint="eastAsia" w:asciiTheme="minorEastAsia" w:hAnsiTheme="minorEastAsia" w:eastAsiaTheme="minorEastAsia" w:cstheme="minorEastAsia"/>
          <w:b/>
          <w:bCs/>
          <w:color w:val="auto"/>
          <w:kern w:val="0"/>
          <w:sz w:val="24"/>
          <w:szCs w:val="24"/>
          <w:highlight w:val="none"/>
          <w:lang w:val="en-US" w:eastAsia="zh-CN"/>
        </w:rPr>
        <w:t>水土保持监测</w:t>
      </w:r>
      <w:r>
        <w:rPr>
          <w:rFonts w:hint="eastAsia" w:asciiTheme="minorEastAsia" w:hAnsiTheme="minorEastAsia" w:eastAsiaTheme="minorEastAsia" w:cstheme="minorEastAsia"/>
          <w:b/>
          <w:bCs/>
          <w:color w:val="auto"/>
          <w:kern w:val="0"/>
          <w:sz w:val="24"/>
          <w:szCs w:val="24"/>
          <w:highlight w:val="none"/>
          <w:lang w:eastAsia="en-US"/>
        </w:rPr>
        <w:t>工作的，承包人须按《承包人违约情形一览表》承担违约责任。</w:t>
      </w:r>
    </w:p>
    <w:p w14:paraId="079883F2">
      <w:pPr>
        <w:pStyle w:val="5"/>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第六条 </w:t>
      </w:r>
      <w:r>
        <w:rPr>
          <w:rFonts w:hint="eastAsia" w:asciiTheme="minorEastAsia" w:hAnsiTheme="minorEastAsia" w:eastAsiaTheme="minorEastAsia" w:cstheme="minorEastAsia"/>
          <w:color w:val="auto"/>
          <w:highlight w:val="none"/>
          <w:lang w:eastAsia="zh-CN"/>
        </w:rPr>
        <w:t>发包人</w:t>
      </w:r>
      <w:r>
        <w:rPr>
          <w:rFonts w:hint="eastAsia" w:asciiTheme="minorEastAsia" w:hAnsiTheme="minorEastAsia" w:eastAsiaTheme="minorEastAsia" w:cstheme="minorEastAsia"/>
          <w:color w:val="auto"/>
          <w:highlight w:val="none"/>
        </w:rPr>
        <w:t>权利与义务</w:t>
      </w:r>
    </w:p>
    <w:p w14:paraId="41558AD1">
      <w:pPr>
        <w:keepNext w:val="0"/>
        <w:keepLines w:val="0"/>
        <w:widowControl/>
        <w:numPr>
          <w:ilvl w:val="0"/>
          <w:numId w:val="0"/>
        </w:numPr>
        <w:suppressLineNumbers w:val="0"/>
        <w:spacing w:before="0" w:beforeAutospacing="0" w:after="0" w:afterAutospacing="0" w:line="500" w:lineRule="exact"/>
        <w:ind w:left="0" w:firstLine="480" w:firstLineChars="200"/>
        <w:rPr>
          <w:rFonts w:hint="default"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6.1发包人选派         为本项目负责人，负责本合同履行的有关事项，包括但不限于布置监测任务、指挥联络、现场监督等。</w:t>
      </w:r>
    </w:p>
    <w:p w14:paraId="7EA1B90F">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6.2</w:t>
      </w:r>
      <w:r>
        <w:rPr>
          <w:rFonts w:hint="eastAsia" w:asciiTheme="minorEastAsia" w:hAnsiTheme="minorEastAsia" w:eastAsiaTheme="minorEastAsia" w:cstheme="minorEastAsia"/>
          <w:color w:val="auto"/>
          <w:sz w:val="24"/>
          <w:szCs w:val="24"/>
          <w:highlight w:val="none"/>
        </w:rPr>
        <w:t>及时提供立项文件、水土保持方案及批复、主体施工图、土石方资料、施工组织设计、参建单位信息等基础资料，并对资料真实性、准确性负责；</w:t>
      </w:r>
    </w:p>
    <w:p w14:paraId="5D90AE18">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6.3</w:t>
      </w:r>
      <w:r>
        <w:rPr>
          <w:rFonts w:hint="eastAsia" w:asciiTheme="minorEastAsia" w:hAnsiTheme="minorEastAsia" w:eastAsiaTheme="minorEastAsia" w:cstheme="minorEastAsia"/>
          <w:color w:val="auto"/>
          <w:sz w:val="24"/>
          <w:szCs w:val="24"/>
          <w:highlight w:val="none"/>
        </w:rPr>
        <w:t>协调</w:t>
      </w:r>
      <w:r>
        <w:rPr>
          <w:rFonts w:hint="eastAsia" w:asciiTheme="minorEastAsia" w:hAnsiTheme="minorEastAsia" w:eastAsiaTheme="minorEastAsia" w:cstheme="minorEastAsia"/>
          <w:color w:val="auto"/>
          <w:sz w:val="24"/>
          <w:szCs w:val="24"/>
          <w:highlight w:val="none"/>
          <w:lang w:eastAsia="zh-CN"/>
        </w:rPr>
        <w:t>承包人</w:t>
      </w:r>
      <w:r>
        <w:rPr>
          <w:rFonts w:hint="eastAsia" w:asciiTheme="minorEastAsia" w:hAnsiTheme="minorEastAsia" w:eastAsiaTheme="minorEastAsia" w:cstheme="minorEastAsia"/>
          <w:color w:val="auto"/>
          <w:sz w:val="24"/>
          <w:szCs w:val="24"/>
          <w:highlight w:val="none"/>
        </w:rPr>
        <w:t>监测人员进入施工现场，协调施工单位、监理单位配合现场监测工作；</w:t>
      </w:r>
    </w:p>
    <w:p w14:paraId="6C4B98C9">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6.4</w:t>
      </w:r>
      <w:r>
        <w:rPr>
          <w:rFonts w:hint="eastAsia" w:asciiTheme="minorEastAsia" w:hAnsiTheme="minorEastAsia" w:eastAsiaTheme="minorEastAsia" w:cstheme="minorEastAsia"/>
          <w:color w:val="auto"/>
          <w:sz w:val="24"/>
          <w:szCs w:val="24"/>
          <w:highlight w:val="none"/>
        </w:rPr>
        <w:t>及时反馈审查意见，按合同约定支付监测服务费；</w:t>
      </w:r>
    </w:p>
    <w:p w14:paraId="2650368F">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6.5</w:t>
      </w:r>
      <w:r>
        <w:rPr>
          <w:rFonts w:hint="eastAsia" w:asciiTheme="minorEastAsia" w:hAnsiTheme="minorEastAsia" w:eastAsiaTheme="minorEastAsia" w:cstheme="minorEastAsia"/>
          <w:color w:val="auto"/>
          <w:sz w:val="24"/>
          <w:szCs w:val="24"/>
          <w:highlight w:val="none"/>
        </w:rPr>
        <w:t>负责组织水土保持设施自主验收，对接水行政主管部门相关行政核查工作。</w:t>
      </w:r>
    </w:p>
    <w:p w14:paraId="32E11D6E">
      <w:pPr>
        <w:pStyle w:val="5"/>
        <w:keepNext w:val="0"/>
        <w:keepLines w:val="0"/>
        <w:widowControl/>
        <w:suppressLineNumbers w:val="0"/>
        <w:spacing w:line="500" w:lineRule="exact"/>
        <w:ind w:firstLine="480" w:firstLineChars="200"/>
        <w:rPr>
          <w:rFonts w:hint="eastAsia" w:asciiTheme="minorEastAsia" w:hAnsiTheme="minorEastAsia" w:eastAsiaTheme="minorEastAsia" w:cstheme="minorEastAsia"/>
          <w:b w:val="0"/>
          <w:bCs w:val="0"/>
          <w:color w:val="auto"/>
          <w:kern w:val="0"/>
          <w:sz w:val="24"/>
          <w:szCs w:val="24"/>
          <w:highlight w:val="none"/>
          <w:lang w:val="en-US" w:eastAsia="en-US"/>
        </w:rPr>
      </w:pPr>
      <w:r>
        <w:rPr>
          <w:rFonts w:hint="eastAsia" w:asciiTheme="minorEastAsia" w:hAnsiTheme="minorEastAsia" w:eastAsiaTheme="minorEastAsia" w:cstheme="minorEastAsia"/>
          <w:b w:val="0"/>
          <w:bCs w:val="0"/>
          <w:color w:val="auto"/>
          <w:kern w:val="0"/>
          <w:sz w:val="24"/>
          <w:szCs w:val="24"/>
          <w:highlight w:val="none"/>
          <w:lang w:val="en-US" w:eastAsia="en-US"/>
        </w:rPr>
        <w:t>6.</w:t>
      </w:r>
      <w:r>
        <w:rPr>
          <w:rFonts w:hint="eastAsia" w:asciiTheme="minorEastAsia" w:hAnsiTheme="minorEastAsia" w:eastAsiaTheme="minorEastAsia" w:cstheme="minorEastAsia"/>
          <w:b w:val="0"/>
          <w:bCs w:val="0"/>
          <w:color w:val="auto"/>
          <w:kern w:val="0"/>
          <w:sz w:val="24"/>
          <w:szCs w:val="24"/>
          <w:highlight w:val="none"/>
          <w:lang w:val="en-US" w:eastAsia="zh-CN"/>
        </w:rPr>
        <w:t>6</w:t>
      </w:r>
      <w:r>
        <w:rPr>
          <w:rFonts w:hint="eastAsia" w:asciiTheme="minorEastAsia" w:hAnsiTheme="minorEastAsia" w:eastAsiaTheme="minorEastAsia" w:cstheme="minorEastAsia"/>
          <w:b w:val="0"/>
          <w:bCs w:val="0"/>
          <w:color w:val="auto"/>
          <w:kern w:val="0"/>
          <w:sz w:val="24"/>
          <w:szCs w:val="24"/>
          <w:highlight w:val="none"/>
          <w:lang w:val="en-US" w:eastAsia="en-US"/>
        </w:rPr>
        <w:t>发包人不得以任何方式要求承包人修改</w:t>
      </w:r>
      <w:r>
        <w:rPr>
          <w:rFonts w:hint="eastAsia" w:asciiTheme="minorEastAsia" w:hAnsiTheme="minorEastAsia" w:eastAsiaTheme="minorEastAsia" w:cstheme="minorEastAsia"/>
          <w:b w:val="0"/>
          <w:bCs w:val="0"/>
          <w:color w:val="auto"/>
          <w:kern w:val="0"/>
          <w:sz w:val="24"/>
          <w:szCs w:val="24"/>
          <w:highlight w:val="none"/>
          <w:lang w:val="en-US" w:eastAsia="zh-CN"/>
        </w:rPr>
        <w:t>监测</w:t>
      </w:r>
      <w:r>
        <w:rPr>
          <w:rFonts w:hint="eastAsia" w:asciiTheme="minorEastAsia" w:hAnsiTheme="minorEastAsia" w:eastAsiaTheme="minorEastAsia" w:cstheme="minorEastAsia"/>
          <w:b w:val="0"/>
          <w:bCs w:val="0"/>
          <w:color w:val="auto"/>
          <w:kern w:val="0"/>
          <w:sz w:val="24"/>
          <w:szCs w:val="24"/>
          <w:highlight w:val="none"/>
          <w:lang w:val="en-US" w:eastAsia="en-US"/>
        </w:rPr>
        <w:t>数据，出具虚假</w:t>
      </w:r>
      <w:r>
        <w:rPr>
          <w:rFonts w:hint="eastAsia" w:asciiTheme="minorEastAsia" w:hAnsiTheme="minorEastAsia" w:eastAsiaTheme="minorEastAsia" w:cstheme="minorEastAsia"/>
          <w:b w:val="0"/>
          <w:bCs w:val="0"/>
          <w:color w:val="auto"/>
          <w:kern w:val="0"/>
          <w:sz w:val="24"/>
          <w:szCs w:val="24"/>
          <w:highlight w:val="none"/>
          <w:lang w:val="en-US" w:eastAsia="zh-CN"/>
        </w:rPr>
        <w:t>监测</w:t>
      </w:r>
      <w:r>
        <w:rPr>
          <w:rFonts w:hint="eastAsia" w:asciiTheme="minorEastAsia" w:hAnsiTheme="minorEastAsia" w:eastAsiaTheme="minorEastAsia" w:cstheme="minorEastAsia"/>
          <w:b w:val="0"/>
          <w:bCs w:val="0"/>
          <w:color w:val="auto"/>
          <w:kern w:val="0"/>
          <w:sz w:val="24"/>
          <w:szCs w:val="24"/>
          <w:highlight w:val="none"/>
          <w:lang w:val="en-US" w:eastAsia="en-US"/>
        </w:rPr>
        <w:t>报告。</w:t>
      </w:r>
    </w:p>
    <w:p w14:paraId="6C4993ED">
      <w:pPr>
        <w:pStyle w:val="5"/>
        <w:keepNext w:val="0"/>
        <w:keepLines w:val="0"/>
        <w:widowControl/>
        <w:suppressLineNumbers w:val="0"/>
        <w:spacing w:line="500" w:lineRule="exact"/>
        <w:ind w:firstLine="480" w:firstLineChars="200"/>
        <w:rPr>
          <w:rFonts w:hint="eastAsia" w:asciiTheme="minorEastAsia" w:hAnsiTheme="minorEastAsia" w:eastAsiaTheme="minorEastAsia" w:cstheme="minorEastAsia"/>
          <w:b w:val="0"/>
          <w:bCs w:val="0"/>
          <w:color w:val="auto"/>
          <w:kern w:val="0"/>
          <w:sz w:val="24"/>
          <w:szCs w:val="24"/>
          <w:highlight w:val="none"/>
          <w:lang w:val="en-US" w:eastAsia="en-US"/>
        </w:rPr>
      </w:pPr>
      <w:r>
        <w:rPr>
          <w:rFonts w:hint="eastAsia" w:asciiTheme="minorEastAsia" w:hAnsiTheme="minorEastAsia" w:eastAsiaTheme="minorEastAsia" w:cstheme="minorEastAsia"/>
          <w:b w:val="0"/>
          <w:bCs w:val="0"/>
          <w:color w:val="auto"/>
          <w:kern w:val="0"/>
          <w:sz w:val="24"/>
          <w:szCs w:val="24"/>
          <w:highlight w:val="none"/>
          <w:lang w:val="en-US" w:eastAsia="zh-CN"/>
        </w:rPr>
        <w:t>6.7</w:t>
      </w:r>
      <w:r>
        <w:rPr>
          <w:rFonts w:hint="eastAsia" w:asciiTheme="minorEastAsia" w:hAnsiTheme="minorEastAsia" w:eastAsiaTheme="minorEastAsia" w:cstheme="minorEastAsia"/>
          <w:b w:val="0"/>
          <w:bCs w:val="0"/>
          <w:color w:val="auto"/>
          <w:kern w:val="0"/>
          <w:sz w:val="24"/>
          <w:szCs w:val="24"/>
          <w:highlight w:val="none"/>
          <w:lang w:val="en-US" w:eastAsia="en-US"/>
        </w:rPr>
        <w:t>发包人有权对承包人未按标准</w:t>
      </w:r>
      <w:r>
        <w:rPr>
          <w:rFonts w:hint="eastAsia" w:asciiTheme="minorEastAsia" w:hAnsiTheme="minorEastAsia" w:eastAsiaTheme="minorEastAsia" w:cstheme="minorEastAsia"/>
          <w:b w:val="0"/>
          <w:bCs w:val="0"/>
          <w:color w:val="auto"/>
          <w:kern w:val="0"/>
          <w:sz w:val="24"/>
          <w:szCs w:val="24"/>
          <w:highlight w:val="none"/>
          <w:lang w:val="en-US" w:eastAsia="zh-CN"/>
        </w:rPr>
        <w:t>监测</w:t>
      </w:r>
      <w:r>
        <w:rPr>
          <w:rFonts w:hint="eastAsia" w:asciiTheme="minorEastAsia" w:hAnsiTheme="minorEastAsia" w:eastAsiaTheme="minorEastAsia" w:cstheme="minorEastAsia"/>
          <w:b w:val="0"/>
          <w:bCs w:val="0"/>
          <w:color w:val="auto"/>
          <w:kern w:val="0"/>
          <w:sz w:val="24"/>
          <w:szCs w:val="24"/>
          <w:highlight w:val="none"/>
          <w:lang w:val="en-US" w:eastAsia="en-US"/>
        </w:rPr>
        <w:t>的行为和违法违规的行为向相关执法部门举报。</w:t>
      </w:r>
    </w:p>
    <w:p w14:paraId="0234DFD6">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en-US"/>
        </w:rPr>
      </w:pPr>
      <w:r>
        <w:rPr>
          <w:rFonts w:hint="eastAsia" w:asciiTheme="minorEastAsia" w:hAnsiTheme="minorEastAsia" w:eastAsiaTheme="minorEastAsia" w:cstheme="minorEastAsia"/>
          <w:color w:val="auto"/>
          <w:sz w:val="24"/>
          <w:szCs w:val="24"/>
          <w:highlight w:val="none"/>
          <w:lang w:val="en-US" w:eastAsia="zh-CN"/>
        </w:rPr>
        <w:t>6.8</w:t>
      </w:r>
      <w:r>
        <w:rPr>
          <w:rFonts w:hint="eastAsia" w:asciiTheme="minorEastAsia" w:hAnsiTheme="minorEastAsia" w:eastAsiaTheme="minorEastAsia" w:cstheme="minorEastAsia"/>
          <w:color w:val="auto"/>
          <w:sz w:val="24"/>
          <w:szCs w:val="24"/>
          <w:highlight w:val="none"/>
          <w:lang w:val="en-US" w:eastAsia="en-US"/>
        </w:rPr>
        <w:t>在承包人出具</w:t>
      </w:r>
      <w:r>
        <w:rPr>
          <w:rFonts w:hint="eastAsia" w:asciiTheme="minorEastAsia" w:hAnsiTheme="minorEastAsia" w:eastAsiaTheme="minorEastAsia" w:cstheme="minorEastAsia"/>
          <w:color w:val="auto"/>
          <w:sz w:val="24"/>
          <w:szCs w:val="24"/>
          <w:highlight w:val="none"/>
          <w:lang w:val="en-US" w:eastAsia="zh-CN"/>
        </w:rPr>
        <w:t>监测</w:t>
      </w:r>
      <w:r>
        <w:rPr>
          <w:rFonts w:hint="eastAsia" w:asciiTheme="minorEastAsia" w:hAnsiTheme="minorEastAsia" w:eastAsiaTheme="minorEastAsia" w:cstheme="minorEastAsia"/>
          <w:color w:val="auto"/>
          <w:sz w:val="24"/>
          <w:szCs w:val="24"/>
          <w:highlight w:val="none"/>
          <w:lang w:val="en-US" w:eastAsia="en-US"/>
        </w:rPr>
        <w:t>报告及相关文件后，发包人应在30个工作日内予以确认。发包人未在上述期限内确认的，视为发包人已经确认并接受该</w:t>
      </w:r>
      <w:r>
        <w:rPr>
          <w:rFonts w:hint="eastAsia" w:asciiTheme="minorEastAsia" w:hAnsiTheme="minorEastAsia" w:eastAsiaTheme="minorEastAsia" w:cstheme="minorEastAsia"/>
          <w:color w:val="auto"/>
          <w:sz w:val="24"/>
          <w:szCs w:val="24"/>
          <w:highlight w:val="none"/>
          <w:lang w:val="en-US" w:eastAsia="zh-CN"/>
        </w:rPr>
        <w:t>监测</w:t>
      </w:r>
      <w:r>
        <w:rPr>
          <w:rFonts w:hint="eastAsia" w:asciiTheme="minorEastAsia" w:hAnsiTheme="minorEastAsia" w:eastAsiaTheme="minorEastAsia" w:cstheme="minorEastAsia"/>
          <w:color w:val="auto"/>
          <w:sz w:val="24"/>
          <w:szCs w:val="24"/>
          <w:highlight w:val="none"/>
          <w:lang w:val="en-US" w:eastAsia="en-US"/>
        </w:rPr>
        <w:t>结论。</w:t>
      </w:r>
    </w:p>
    <w:p w14:paraId="4B483527">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en-US"/>
        </w:rPr>
      </w:pPr>
      <w:r>
        <w:rPr>
          <w:rFonts w:hint="eastAsia" w:asciiTheme="minorEastAsia" w:hAnsiTheme="minorEastAsia" w:eastAsiaTheme="minorEastAsia" w:cstheme="minorEastAsia"/>
          <w:color w:val="auto"/>
          <w:sz w:val="24"/>
          <w:szCs w:val="24"/>
          <w:highlight w:val="none"/>
          <w:lang w:val="en-US" w:eastAsia="zh-CN"/>
        </w:rPr>
        <w:t>6.9</w:t>
      </w:r>
      <w:r>
        <w:rPr>
          <w:rFonts w:hint="eastAsia" w:asciiTheme="minorEastAsia" w:hAnsiTheme="minorEastAsia" w:eastAsiaTheme="minorEastAsia" w:cstheme="minorEastAsia"/>
          <w:color w:val="auto"/>
          <w:sz w:val="24"/>
          <w:szCs w:val="24"/>
          <w:highlight w:val="none"/>
          <w:lang w:val="en-US" w:eastAsia="en-US"/>
        </w:rPr>
        <w:t>发包人认为承包人人员配备无法满足项目进度需求的，发包人有权要求承包人进行增加或调整，承包人不得因此提出任何异议或索赔。</w:t>
      </w:r>
    </w:p>
    <w:p w14:paraId="6876275D">
      <w:pPr>
        <w:pStyle w:val="5"/>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第七条 </w:t>
      </w:r>
      <w:r>
        <w:rPr>
          <w:rFonts w:hint="eastAsia" w:asciiTheme="minorEastAsia" w:hAnsiTheme="minorEastAsia" w:eastAsiaTheme="minorEastAsia" w:cstheme="minorEastAsia"/>
          <w:color w:val="auto"/>
          <w:highlight w:val="none"/>
          <w:lang w:eastAsia="zh-CN"/>
        </w:rPr>
        <w:t>承包人</w:t>
      </w:r>
      <w:r>
        <w:rPr>
          <w:rFonts w:hint="eastAsia" w:asciiTheme="minorEastAsia" w:hAnsiTheme="minorEastAsia" w:eastAsiaTheme="minorEastAsia" w:cstheme="minorEastAsia"/>
          <w:color w:val="auto"/>
          <w:highlight w:val="none"/>
        </w:rPr>
        <w:t>权利与义务</w:t>
      </w:r>
    </w:p>
    <w:p w14:paraId="6B8E64FF">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en-US"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7.1</w:t>
      </w:r>
      <w:r>
        <w:rPr>
          <w:rFonts w:hint="eastAsia" w:asciiTheme="minorEastAsia" w:hAnsiTheme="minorEastAsia" w:eastAsiaTheme="minorEastAsia" w:cstheme="minorEastAsia"/>
          <w:snapToGrid w:val="0"/>
          <w:color w:val="auto"/>
          <w:kern w:val="0"/>
          <w:sz w:val="24"/>
          <w:szCs w:val="24"/>
          <w:highlight w:val="none"/>
          <w:lang w:val="en-US" w:eastAsia="en-US" w:bidi="ar-SA"/>
        </w:rPr>
        <w:t xml:space="preserve"> 承包人应当向发包人提供经国家法律法规等认可的与本工程</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eastAsia" w:asciiTheme="minorEastAsia" w:hAnsiTheme="minorEastAsia" w:eastAsiaTheme="minorEastAsia" w:cstheme="minorEastAsia"/>
          <w:snapToGrid w:val="0"/>
          <w:color w:val="auto"/>
          <w:kern w:val="0"/>
          <w:sz w:val="24"/>
          <w:szCs w:val="24"/>
          <w:highlight w:val="none"/>
          <w:lang w:val="en-US" w:eastAsia="en-US" w:bidi="ar-SA"/>
        </w:rPr>
        <w:t>业务有关的</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eastAsia" w:asciiTheme="minorEastAsia" w:hAnsiTheme="minorEastAsia" w:eastAsiaTheme="minorEastAsia" w:cstheme="minorEastAsia"/>
          <w:snapToGrid w:val="0"/>
          <w:color w:val="auto"/>
          <w:kern w:val="0"/>
          <w:sz w:val="24"/>
          <w:szCs w:val="24"/>
          <w:highlight w:val="none"/>
          <w:lang w:val="en-US" w:eastAsia="en-US" w:bidi="ar-SA"/>
        </w:rPr>
        <w:t>能力证明资料。</w:t>
      </w:r>
    </w:p>
    <w:p w14:paraId="60CB8826">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en-US"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7.2</w:t>
      </w:r>
      <w:r>
        <w:rPr>
          <w:rFonts w:hint="eastAsia" w:asciiTheme="minorEastAsia" w:hAnsiTheme="minorEastAsia" w:eastAsiaTheme="minorEastAsia" w:cstheme="minorEastAsia"/>
          <w:snapToGrid w:val="0"/>
          <w:color w:val="auto"/>
          <w:kern w:val="0"/>
          <w:sz w:val="24"/>
          <w:szCs w:val="24"/>
          <w:highlight w:val="none"/>
          <w:lang w:val="en-US" w:eastAsia="en-US" w:bidi="ar-SA"/>
        </w:rPr>
        <w:t xml:space="preserve"> 承包人承诺与本工程相关的设计单位、施工单位、监理单位、材料供应商等无隶属关系或者其它利害关系。</w:t>
      </w:r>
    </w:p>
    <w:p w14:paraId="4FE3CE43">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7.3</w:t>
      </w:r>
      <w:r>
        <w:rPr>
          <w:rFonts w:hint="eastAsia" w:asciiTheme="minorEastAsia" w:hAnsiTheme="minorEastAsia" w:eastAsiaTheme="minorEastAsia" w:cstheme="minorEastAsia"/>
          <w:color w:val="auto"/>
          <w:sz w:val="24"/>
          <w:szCs w:val="24"/>
          <w:highlight w:val="none"/>
        </w:rPr>
        <w:t>严格按照本合同第二条所列法规、技术标准（含 SL/T 277-2024）开展水土保持监测，保证监测原始数据真实、准确、完整、可追溯；监测点位布设、监测频次、监测方法、资料归档均满足</w:t>
      </w:r>
      <w:r>
        <w:rPr>
          <w:rFonts w:hint="eastAsia" w:asciiTheme="minorEastAsia" w:hAnsiTheme="minorEastAsia" w:eastAsiaTheme="minorEastAsia" w:cstheme="minorEastAsia"/>
          <w:color w:val="auto"/>
          <w:sz w:val="24"/>
          <w:szCs w:val="24"/>
          <w:highlight w:val="none"/>
          <w:lang w:val="en-US" w:eastAsia="zh-CN"/>
        </w:rPr>
        <w:t>发包人</w:t>
      </w:r>
      <w:r>
        <w:rPr>
          <w:rFonts w:hint="eastAsia" w:asciiTheme="minorEastAsia" w:hAnsiTheme="minorEastAsia" w:eastAsiaTheme="minorEastAsia" w:cstheme="minorEastAsia"/>
          <w:color w:val="auto"/>
          <w:sz w:val="24"/>
          <w:szCs w:val="24"/>
          <w:highlight w:val="none"/>
        </w:rPr>
        <w:t>要求；</w:t>
      </w:r>
    </w:p>
    <w:p w14:paraId="65AE61A4">
      <w:pPr>
        <w:keepNext w:val="0"/>
        <w:keepLines w:val="0"/>
        <w:widowControl/>
        <w:numPr>
          <w:ilvl w:val="0"/>
          <w:numId w:val="0"/>
        </w:numPr>
        <w:suppressLineNumbers w:val="0"/>
        <w:spacing w:before="0" w:beforeAutospacing="0" w:after="0" w:afterAutospacing="0" w:line="500" w:lineRule="exact"/>
        <w:ind w:left="0" w:firstLine="480" w:firstLineChars="200"/>
        <w:rPr>
          <w:rFonts w:hint="default"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7.4承包人应当在双方约定的日期内进场开展监测活动。</w:t>
      </w:r>
    </w:p>
    <w:p w14:paraId="4C34C945">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bidi="ar-SA"/>
        </w:rPr>
        <w:t>7.5</w:t>
      </w:r>
      <w:r>
        <w:rPr>
          <w:rFonts w:hint="eastAsia" w:asciiTheme="minorEastAsia" w:hAnsiTheme="minorEastAsia" w:eastAsiaTheme="minorEastAsia" w:cstheme="minorEastAsia"/>
          <w:color w:val="auto"/>
          <w:sz w:val="24"/>
          <w:szCs w:val="24"/>
          <w:highlight w:val="none"/>
          <w:lang w:val="en-US" w:eastAsia="zh-CN"/>
        </w:rPr>
        <w:t>承包人须保质、保量、按时完成监测工作。除因不可抗力外，按发包人要求及时提交监测成果报告。</w:t>
      </w:r>
    </w:p>
    <w:p w14:paraId="3156D96A">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7.6承包人出具的监测报告必须符合国家规范要求，各类印章齐全,现场监测人员、编写人员、审核人员、签发人员均应签字，否则报告无效。</w:t>
      </w:r>
    </w:p>
    <w:p w14:paraId="281A6176">
      <w:pPr>
        <w:keepNext w:val="0"/>
        <w:keepLines w:val="0"/>
        <w:widowControl/>
        <w:numPr>
          <w:ilvl w:val="0"/>
          <w:numId w:val="0"/>
        </w:numPr>
        <w:suppressLineNumbers w:val="0"/>
        <w:spacing w:before="0" w:beforeAutospacing="0" w:after="0" w:afterAutospacing="0" w:line="500" w:lineRule="exact"/>
        <w:ind w:left="0" w:firstLine="480" w:firstLineChars="200"/>
        <w:rPr>
          <w:rFonts w:hint="default"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7.7</w:t>
      </w:r>
      <w:r>
        <w:rPr>
          <w:rFonts w:hint="default" w:asciiTheme="minorEastAsia" w:hAnsiTheme="minorEastAsia" w:eastAsiaTheme="minorEastAsia" w:cstheme="minorEastAsia"/>
          <w:snapToGrid w:val="0"/>
          <w:color w:val="auto"/>
          <w:kern w:val="0"/>
          <w:sz w:val="24"/>
          <w:szCs w:val="24"/>
          <w:highlight w:val="none"/>
          <w:lang w:val="en-US" w:eastAsia="zh-CN" w:bidi="ar-SA"/>
        </w:rPr>
        <w:t xml:space="preserve"> 承包人应当遵守工程安全管理规定及其它工程现场管理制度，确保项目建设期内无生产安全责任事故发生。</w:t>
      </w:r>
    </w:p>
    <w:p w14:paraId="6523893A">
      <w:pPr>
        <w:keepNext w:val="0"/>
        <w:keepLines w:val="0"/>
        <w:widowControl/>
        <w:numPr>
          <w:ilvl w:val="0"/>
          <w:numId w:val="0"/>
        </w:numPr>
        <w:suppressLineNumbers w:val="0"/>
        <w:spacing w:before="0" w:beforeAutospacing="0" w:after="0" w:afterAutospacing="0" w:line="500" w:lineRule="exact"/>
        <w:ind w:left="0" w:firstLine="480" w:firstLineChars="200"/>
        <w:rPr>
          <w:rFonts w:hint="default"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7.8</w:t>
      </w:r>
      <w:r>
        <w:rPr>
          <w:rFonts w:hint="default" w:asciiTheme="minorEastAsia" w:hAnsiTheme="minorEastAsia" w:eastAsiaTheme="minorEastAsia" w:cstheme="minorEastAsia"/>
          <w:snapToGrid w:val="0"/>
          <w:color w:val="auto"/>
          <w:kern w:val="0"/>
          <w:sz w:val="24"/>
          <w:szCs w:val="24"/>
          <w:highlight w:val="none"/>
          <w:lang w:val="en-US" w:eastAsia="zh-CN" w:bidi="ar-SA"/>
        </w:rPr>
        <w:t xml:space="preserve"> 承包人对</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default" w:asciiTheme="minorEastAsia" w:hAnsiTheme="minorEastAsia" w:eastAsiaTheme="minorEastAsia" w:cstheme="minorEastAsia"/>
          <w:snapToGrid w:val="0"/>
          <w:color w:val="auto"/>
          <w:kern w:val="0"/>
          <w:sz w:val="24"/>
          <w:szCs w:val="24"/>
          <w:highlight w:val="none"/>
          <w:lang w:val="en-US" w:eastAsia="zh-CN" w:bidi="ar-SA"/>
        </w:rPr>
        <w:t>工作中涉及的国家机密、商业秘密、个人隐私应当承担保密义务。</w:t>
      </w:r>
    </w:p>
    <w:p w14:paraId="4C2BFBBF">
      <w:pPr>
        <w:keepNext w:val="0"/>
        <w:keepLines w:val="0"/>
        <w:widowControl/>
        <w:numPr>
          <w:ilvl w:val="0"/>
          <w:numId w:val="0"/>
        </w:numPr>
        <w:suppressLineNumbers w:val="0"/>
        <w:spacing w:before="0" w:beforeAutospacing="0" w:after="0" w:afterAutospacing="0" w:line="500" w:lineRule="exact"/>
        <w:ind w:left="0" w:firstLine="480" w:firstLineChars="200"/>
        <w:rPr>
          <w:rFonts w:hint="default"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7.9</w:t>
      </w:r>
      <w:r>
        <w:rPr>
          <w:rFonts w:hint="default" w:asciiTheme="minorEastAsia" w:hAnsiTheme="minorEastAsia" w:eastAsiaTheme="minorEastAsia" w:cstheme="minorEastAsia"/>
          <w:snapToGrid w:val="0"/>
          <w:color w:val="auto"/>
          <w:kern w:val="0"/>
          <w:sz w:val="24"/>
          <w:szCs w:val="24"/>
          <w:highlight w:val="none"/>
          <w:lang w:val="en-US" w:eastAsia="zh-CN" w:bidi="ar-SA"/>
        </w:rPr>
        <w:t xml:space="preserve"> 承包人须无条件协助发包人应对现场突发情况，包括但不限于配合属地政府部门做好当地社会维稳工作等，相关费用视为已包含在合同总价中，发包人不另行计付。 </w:t>
      </w:r>
    </w:p>
    <w:p w14:paraId="428279D7">
      <w:pPr>
        <w:keepNext w:val="0"/>
        <w:keepLines w:val="0"/>
        <w:widowControl/>
        <w:numPr>
          <w:ilvl w:val="0"/>
          <w:numId w:val="0"/>
        </w:numPr>
        <w:suppressLineNumbers w:val="0"/>
        <w:spacing w:before="0" w:beforeAutospacing="0" w:after="0" w:afterAutospacing="0" w:line="500" w:lineRule="exact"/>
        <w:ind w:left="0" w:firstLine="480" w:firstLineChars="200"/>
        <w:rPr>
          <w:rFonts w:hint="default"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7.10</w:t>
      </w:r>
      <w:r>
        <w:rPr>
          <w:rFonts w:hint="default" w:asciiTheme="minorEastAsia" w:hAnsiTheme="minorEastAsia" w:eastAsiaTheme="minorEastAsia" w:cstheme="minorEastAsia"/>
          <w:snapToGrid w:val="0"/>
          <w:color w:val="auto"/>
          <w:kern w:val="0"/>
          <w:sz w:val="24"/>
          <w:szCs w:val="24"/>
          <w:highlight w:val="none"/>
          <w:lang w:val="en-US" w:eastAsia="zh-CN" w:bidi="ar-SA"/>
        </w:rPr>
        <w:t>承包人应按照投标文件的承诺向发包人派驻</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default" w:asciiTheme="minorEastAsia" w:hAnsiTheme="minorEastAsia" w:eastAsiaTheme="minorEastAsia" w:cstheme="minorEastAsia"/>
          <w:snapToGrid w:val="0"/>
          <w:color w:val="auto"/>
          <w:kern w:val="0"/>
          <w:sz w:val="24"/>
          <w:szCs w:val="24"/>
          <w:highlight w:val="none"/>
          <w:lang w:val="en-US" w:eastAsia="zh-CN" w:bidi="ar-SA"/>
        </w:rPr>
        <w:t>人员，在签订合同之日起7天内，应按招标文件的要求向发包人提交拟派的除项目负责人之外的其他人员的相关资料。包括但不限于学历证明资料、身份证明资料、职称证明资料、</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default" w:asciiTheme="minorEastAsia" w:hAnsiTheme="minorEastAsia" w:eastAsiaTheme="minorEastAsia" w:cstheme="minorEastAsia"/>
          <w:snapToGrid w:val="0"/>
          <w:color w:val="auto"/>
          <w:kern w:val="0"/>
          <w:sz w:val="24"/>
          <w:szCs w:val="24"/>
          <w:highlight w:val="none"/>
          <w:lang w:val="en-US" w:eastAsia="zh-CN" w:bidi="ar-SA"/>
        </w:rPr>
        <w:t>证书证明资料以及个人履历情况等信息，供发包人审核，发包人审核不通过的，承包人应在3日内更换相关人员，直至满足发包人的审核要求。</w:t>
      </w:r>
    </w:p>
    <w:p w14:paraId="53B7E5DA">
      <w:pPr>
        <w:keepNext w:val="0"/>
        <w:keepLines w:val="0"/>
        <w:widowControl/>
        <w:numPr>
          <w:ilvl w:val="0"/>
          <w:numId w:val="0"/>
        </w:numPr>
        <w:suppressLineNumbers w:val="0"/>
        <w:spacing w:before="0" w:beforeAutospacing="0" w:after="0" w:afterAutospacing="0" w:line="500" w:lineRule="exact"/>
        <w:ind w:left="0" w:firstLine="480" w:firstLineChars="200"/>
        <w:rPr>
          <w:rFonts w:hint="default"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7.11</w:t>
      </w:r>
      <w:r>
        <w:rPr>
          <w:rFonts w:hint="default" w:asciiTheme="minorEastAsia" w:hAnsiTheme="minorEastAsia" w:eastAsiaTheme="minorEastAsia" w:cstheme="minorEastAsia"/>
          <w:snapToGrid w:val="0"/>
          <w:color w:val="auto"/>
          <w:kern w:val="0"/>
          <w:sz w:val="24"/>
          <w:szCs w:val="24"/>
          <w:highlight w:val="none"/>
          <w:lang w:val="en-US" w:eastAsia="zh-CN" w:bidi="ar-SA"/>
        </w:rPr>
        <w:t>承包人必须保证人员的稳定。投标文件内明确的主要技术人员作为合同文件的重要内容，原则上投标的项目负责人及项目组人员不得更换，承包人未达到以上要求需承担相应违约责任。若因特殊原因确实需要更换</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default" w:asciiTheme="minorEastAsia" w:hAnsiTheme="minorEastAsia" w:eastAsiaTheme="minorEastAsia" w:cstheme="minorEastAsia"/>
          <w:snapToGrid w:val="0"/>
          <w:color w:val="auto"/>
          <w:kern w:val="0"/>
          <w:sz w:val="24"/>
          <w:szCs w:val="24"/>
          <w:highlight w:val="none"/>
          <w:lang w:val="en-US" w:eastAsia="zh-CN" w:bidi="ar-SA"/>
        </w:rPr>
        <w:t>人员的，承包人需提前10天向发包人提交更换人员的申请，同时提交拟更换的</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default" w:asciiTheme="minorEastAsia" w:hAnsiTheme="minorEastAsia" w:eastAsiaTheme="minorEastAsia" w:cstheme="minorEastAsia"/>
          <w:snapToGrid w:val="0"/>
          <w:color w:val="auto"/>
          <w:kern w:val="0"/>
          <w:sz w:val="24"/>
          <w:szCs w:val="24"/>
          <w:highlight w:val="none"/>
          <w:lang w:val="en-US" w:eastAsia="zh-CN" w:bidi="ar-SA"/>
        </w:rPr>
        <w:t>人员的相关学历证明资料、身份证明资料、职称证明资料、</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default" w:asciiTheme="minorEastAsia" w:hAnsiTheme="minorEastAsia" w:eastAsiaTheme="minorEastAsia" w:cstheme="minorEastAsia"/>
          <w:snapToGrid w:val="0"/>
          <w:color w:val="auto"/>
          <w:kern w:val="0"/>
          <w:sz w:val="24"/>
          <w:szCs w:val="24"/>
          <w:highlight w:val="none"/>
          <w:lang w:val="en-US" w:eastAsia="zh-CN" w:bidi="ar-SA"/>
        </w:rPr>
        <w:t>证书证明资料以及个人履历情况等资料给发包人审核，拟更换的</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default" w:asciiTheme="minorEastAsia" w:hAnsiTheme="minorEastAsia" w:eastAsiaTheme="minorEastAsia" w:cstheme="minorEastAsia"/>
          <w:snapToGrid w:val="0"/>
          <w:color w:val="auto"/>
          <w:kern w:val="0"/>
          <w:sz w:val="24"/>
          <w:szCs w:val="24"/>
          <w:highlight w:val="none"/>
          <w:lang w:val="en-US" w:eastAsia="zh-CN" w:bidi="ar-SA"/>
        </w:rPr>
        <w:t>人员需具备与被更换人员同等或以上的资格条件，经发包人审核书面同意后，承包人方可进行</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default" w:asciiTheme="minorEastAsia" w:hAnsiTheme="minorEastAsia" w:eastAsiaTheme="minorEastAsia" w:cstheme="minorEastAsia"/>
          <w:snapToGrid w:val="0"/>
          <w:color w:val="auto"/>
          <w:kern w:val="0"/>
          <w:sz w:val="24"/>
          <w:szCs w:val="24"/>
          <w:highlight w:val="none"/>
          <w:lang w:val="en-US" w:eastAsia="zh-CN" w:bidi="ar-SA"/>
        </w:rPr>
        <w:t>人员的更换。</w:t>
      </w:r>
    </w:p>
    <w:p w14:paraId="27FCBD82">
      <w:pPr>
        <w:keepNext w:val="0"/>
        <w:keepLines w:val="0"/>
        <w:widowControl/>
        <w:numPr>
          <w:ilvl w:val="0"/>
          <w:numId w:val="0"/>
        </w:numPr>
        <w:suppressLineNumbers w:val="0"/>
        <w:spacing w:before="0" w:beforeAutospacing="0" w:after="0" w:afterAutospacing="0" w:line="500" w:lineRule="exact"/>
        <w:ind w:left="0" w:firstLine="480" w:firstLineChars="200"/>
        <w:rPr>
          <w:rFonts w:hint="default"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7.12</w:t>
      </w:r>
      <w:r>
        <w:rPr>
          <w:rFonts w:hint="default" w:asciiTheme="minorEastAsia" w:hAnsiTheme="minorEastAsia" w:eastAsiaTheme="minorEastAsia" w:cstheme="minorEastAsia"/>
          <w:snapToGrid w:val="0"/>
          <w:color w:val="auto"/>
          <w:kern w:val="0"/>
          <w:sz w:val="24"/>
          <w:szCs w:val="24"/>
          <w:highlight w:val="none"/>
          <w:lang w:val="en-US" w:eastAsia="zh-CN" w:bidi="ar-SA"/>
        </w:rPr>
        <w:t>当</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default" w:asciiTheme="minorEastAsia" w:hAnsiTheme="minorEastAsia" w:eastAsiaTheme="minorEastAsia" w:cstheme="minorEastAsia"/>
          <w:snapToGrid w:val="0"/>
          <w:color w:val="auto"/>
          <w:kern w:val="0"/>
          <w:sz w:val="24"/>
          <w:szCs w:val="24"/>
          <w:highlight w:val="none"/>
          <w:lang w:val="en-US" w:eastAsia="zh-CN" w:bidi="ar-SA"/>
        </w:rPr>
        <w:t>进度未能满足现场施工实际的，承包人须需要加派人手保证</w:t>
      </w:r>
      <w:r>
        <w:rPr>
          <w:rFonts w:hint="eastAsia" w:asciiTheme="minorEastAsia" w:hAnsiTheme="minorEastAsia" w:eastAsiaTheme="minorEastAsia" w:cstheme="minorEastAsia"/>
          <w:snapToGrid w:val="0"/>
          <w:color w:val="auto"/>
          <w:kern w:val="0"/>
          <w:sz w:val="24"/>
          <w:szCs w:val="24"/>
          <w:highlight w:val="none"/>
          <w:lang w:val="en-US" w:eastAsia="zh-CN" w:bidi="ar-SA"/>
        </w:rPr>
        <w:t>监测</w:t>
      </w:r>
      <w:r>
        <w:rPr>
          <w:rFonts w:hint="default" w:asciiTheme="minorEastAsia" w:hAnsiTheme="minorEastAsia" w:eastAsiaTheme="minorEastAsia" w:cstheme="minorEastAsia"/>
          <w:snapToGrid w:val="0"/>
          <w:color w:val="auto"/>
          <w:kern w:val="0"/>
          <w:sz w:val="24"/>
          <w:szCs w:val="24"/>
          <w:highlight w:val="none"/>
          <w:lang w:val="en-US" w:eastAsia="zh-CN" w:bidi="ar-SA"/>
        </w:rPr>
        <w:t>进度能满足现场施工进度要求</w:t>
      </w:r>
      <w:r>
        <w:rPr>
          <w:rFonts w:hint="eastAsia" w:asciiTheme="minorEastAsia" w:hAnsiTheme="minorEastAsia" w:eastAsiaTheme="minorEastAsia" w:cstheme="minorEastAsia"/>
          <w:snapToGrid w:val="0"/>
          <w:color w:val="auto"/>
          <w:kern w:val="0"/>
          <w:sz w:val="24"/>
          <w:szCs w:val="24"/>
          <w:highlight w:val="none"/>
          <w:lang w:val="en-US" w:eastAsia="zh-CN" w:bidi="ar-SA"/>
        </w:rPr>
        <w:t>。</w:t>
      </w:r>
    </w:p>
    <w:p w14:paraId="50E97EFF">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7.13</w:t>
      </w:r>
      <w:r>
        <w:rPr>
          <w:rFonts w:hint="eastAsia" w:asciiTheme="minorEastAsia" w:hAnsiTheme="minorEastAsia" w:eastAsiaTheme="minorEastAsia" w:cstheme="minorEastAsia"/>
          <w:color w:val="auto"/>
          <w:sz w:val="24"/>
          <w:szCs w:val="24"/>
          <w:highlight w:val="none"/>
        </w:rPr>
        <w:t>监测发现水土流失隐患、重大扰动风险，应在 24 小时内向</w:t>
      </w:r>
      <w:r>
        <w:rPr>
          <w:rFonts w:hint="eastAsia" w:asciiTheme="minorEastAsia" w:hAnsiTheme="minorEastAsia" w:eastAsiaTheme="minorEastAsia" w:cstheme="minorEastAsia"/>
          <w:color w:val="auto"/>
          <w:sz w:val="24"/>
          <w:szCs w:val="24"/>
          <w:highlight w:val="none"/>
          <w:lang w:eastAsia="zh-CN"/>
        </w:rPr>
        <w:t>发包人</w:t>
      </w:r>
      <w:r>
        <w:rPr>
          <w:rFonts w:hint="eastAsia" w:asciiTheme="minorEastAsia" w:hAnsiTheme="minorEastAsia" w:eastAsiaTheme="minorEastAsia" w:cstheme="minorEastAsia"/>
          <w:color w:val="auto"/>
          <w:sz w:val="24"/>
          <w:szCs w:val="24"/>
          <w:highlight w:val="none"/>
        </w:rPr>
        <w:t>提交书面预警通知，提出防治建议；</w:t>
      </w:r>
    </w:p>
    <w:p w14:paraId="5B075056">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7.14</w:t>
      </w:r>
      <w:r>
        <w:rPr>
          <w:rFonts w:hint="eastAsia" w:asciiTheme="minorEastAsia" w:hAnsiTheme="minorEastAsia" w:eastAsiaTheme="minorEastAsia" w:cstheme="minorEastAsia"/>
          <w:color w:val="auto"/>
          <w:sz w:val="24"/>
          <w:szCs w:val="24"/>
          <w:highlight w:val="none"/>
        </w:rPr>
        <w:t>本合同项下监测工作不得转包、违法分包；</w:t>
      </w:r>
    </w:p>
    <w:p w14:paraId="4D43A4BD">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7.15</w:t>
      </w:r>
      <w:r>
        <w:rPr>
          <w:rFonts w:hint="eastAsia" w:asciiTheme="minorEastAsia" w:hAnsiTheme="minorEastAsia" w:eastAsiaTheme="minorEastAsia" w:cstheme="minorEastAsia"/>
          <w:color w:val="auto"/>
          <w:sz w:val="24"/>
          <w:szCs w:val="24"/>
          <w:highlight w:val="none"/>
        </w:rPr>
        <w:t>按规范保管监测原始记录，不得篡改、伪造监测数据。</w:t>
      </w:r>
    </w:p>
    <w:p w14:paraId="7C7A83DE">
      <w:pPr>
        <w:pStyle w:val="5"/>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第八条 成果验收</w:t>
      </w:r>
    </w:p>
    <w:p w14:paraId="6384CDD6">
      <w:pPr>
        <w:pStyle w:val="5"/>
        <w:keepNext w:val="0"/>
        <w:keepLines w:val="0"/>
        <w:widowControl/>
        <w:suppressLineNumbers w:val="0"/>
        <w:spacing w:line="500" w:lineRule="exact"/>
        <w:ind w:firstLine="480" w:firstLineChars="200"/>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b w:val="0"/>
          <w:bCs w:val="0"/>
          <w:color w:val="auto"/>
          <w:kern w:val="0"/>
          <w:sz w:val="24"/>
          <w:szCs w:val="24"/>
          <w:highlight w:val="none"/>
        </w:rPr>
        <w:t>验收标准：承包人提交全套水土保持监测成果，监测点位、监测频次、监测指标、资料归档符合相关规范，监测数据真实完整，能够支撑水土保持设施自主验收，向行政主管部门提交备案资料并满足行政主管部门核查资料要求后，视为承包人服务完成。</w:t>
      </w:r>
    </w:p>
    <w:p w14:paraId="6CA42436">
      <w:pPr>
        <w:pStyle w:val="5"/>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第九条 处罚条款（违约责任）</w:t>
      </w:r>
    </w:p>
    <w:p w14:paraId="3916CAD7">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9.1 一方无正当理由单方解除合同的，应当承担由此给对方造成的损失。</w:t>
      </w:r>
    </w:p>
    <w:p w14:paraId="59E1004A">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一方未按照约定履行义务给对方造成损失的，应当承担相应的赔偿责任，本合同另有定的从其约定。</w:t>
      </w:r>
    </w:p>
    <w:p w14:paraId="74698607">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9.3承包人未经发包人书面同意擅自更换项目负责人的，承包人向发包人支付违约金10万元/人次，未经发包人书面同意擅自更换</w:t>
      </w:r>
      <w:r>
        <w:rPr>
          <w:rFonts w:hint="eastAsia" w:asciiTheme="minorEastAsia" w:hAnsiTheme="minorEastAsia" w:eastAsiaTheme="minorEastAsia" w:cstheme="minorEastAsia"/>
          <w:color w:val="auto"/>
          <w:kern w:val="0"/>
          <w:sz w:val="24"/>
          <w:szCs w:val="24"/>
          <w:highlight w:val="none"/>
          <w:lang w:val="en-US" w:eastAsia="zh-CN" w:bidi="ar"/>
        </w:rPr>
        <w:t>其他人员（项目负责人除外）的，</w:t>
      </w:r>
      <w:r>
        <w:rPr>
          <w:rFonts w:hint="eastAsia" w:asciiTheme="minorEastAsia" w:hAnsiTheme="minorEastAsia" w:eastAsiaTheme="minorEastAsia" w:cstheme="minorEastAsia"/>
          <w:color w:val="auto"/>
          <w:sz w:val="24"/>
          <w:szCs w:val="24"/>
          <w:highlight w:val="none"/>
          <w:lang w:val="en-US" w:eastAsia="zh-CN"/>
        </w:rPr>
        <w:t>承包人向发包人支付违约金2万元/人次。</w:t>
      </w:r>
    </w:p>
    <w:p w14:paraId="33D4112B">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承包人申请更换监测人员的，除按本合同条款7.11要求进行人员更换的申请外，还需按以下标准向发包人支付违约金：①承包人申请更换项目负责人的，在发包人同意承包人更换申请后，承包人更换项目负责人前，须向发包人支付3万元/人次的违约金。②承包人申请更换项目负责人以外的其他监测人员的，在发包人同意承包人更换申请后，承包人更换其他监测人员前，须向发包人支付0.5万元/人次的违约金。③承包人拒绝按上述约定支付违约金的，视为发包人不同意承包人的更换人员申请，承包人不得变更相关人员，否则，即为承包人擅自更换相关人员，发包人将按本合同“第九条 违约责任”的第9.3条执行。</w:t>
      </w:r>
    </w:p>
    <w:p w14:paraId="2E5A68B6">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9.5承包人派驻的监测人员不配合发包人工作或不能胜任工作的或因工程实际需要须增加相关监测人员的，发包人有权要求承包人更换或增加相关监测人员，承包人应在3日内更换或增加相关监测人员，且不得向发包人提出增加费用或要求补偿或索赔等，承包人的合同价应已充分考虑该因素，并在相关合同单价中进行综合考虑。承包人逾期更换或增加的，每逾期一日应向发包人支付0.5万元的违约金，承包人拒绝按上述要求更换或增加相关监测人员或逾期超过7日的，视为承包人违约，承包人向发包人支付10万元/次的违约金，且发包人有权终止或解除本合同，由此造成的监测期限延误的违约责任及发包人损失由承包人承担。</w:t>
      </w:r>
    </w:p>
    <w:p w14:paraId="02390BDB">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9.6因承包人原因导致未按照本合同约定时间内向发包人提交监测报告，自超过合同约定提交监测报告之日起，每逾期一天，承包人应向发包人支付逾期违约金0.2万元/天/份，逾期超过15天（含15天）时，承包人向发包人支付签约合同总价20%的违约金且发包人有权终止或解除本合同，若违约金不足以弥补发包人损失的，发包人有权要求承包人对超出部分继续赔偿。</w:t>
      </w:r>
    </w:p>
    <w:p w14:paraId="313E20F2">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9.7承包人违反适用于本项目的法律、法规和工程建设强制性标准的，承包人应向发包人支付1万元/次的违约金，若违约金不足以弥补发包人损失的，发包人有权要求承包人对超出部分继续赔偿。若承包人违反适用于本项目的法律、法规和工程建设强制性标准达到5次，承包人向发包人支付签约合同总价20%的违约金且发包人有权终止或解除本合同，若违约金不足以弥补发包人损失的，发包人有权要求承包人对超出部分继续赔偿。</w:t>
      </w:r>
    </w:p>
    <w:p w14:paraId="1F3D603D">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9.8由于承包人提供的监测信息错误或成果质量不合格的，承包人应向发包人支付1万元/份的违约金，给发包人造成损失的应予以赔偿，且承包人应负责无偿更正或补充完善使其达到质量合格；若承包人未在15日内或者无力履行或者拒绝履行补充完善义务，发包人有权自行另行委托其他单位，因此而发生的全部监测费用及其他费用均由承包人承担。若承包人提供的监测信息错误或成果质量不合格达到5次，承包人向发包人支付签约合同总价20%的违约金且发包人有权终止或解除本合同，若违约金不足以弥补发包人损失的，发包人有权要求承包人对超出部分继续赔偿。</w:t>
      </w:r>
    </w:p>
    <w:p w14:paraId="623C180B">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9.9因发包人原因导致工期延长的，工期可顺延，但发包人不支付违约金。</w:t>
      </w:r>
    </w:p>
    <w:p w14:paraId="76E6477A">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9.10未经发包人同意，承包人擅自将监测结果向第三方泄露、转让的，发包人有权追究其法律责任，且承包人应向发包人支付10万元/次的违约金，不足弥补发包人损失的，发包人有权要求承包人对超出部分继续赔偿。</w:t>
      </w:r>
    </w:p>
    <w:p w14:paraId="02130E12">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9.11</w:t>
      </w:r>
      <w:r>
        <w:rPr>
          <w:rFonts w:hint="eastAsia" w:asciiTheme="minorEastAsia" w:hAnsiTheme="minorEastAsia" w:eastAsiaTheme="minorEastAsia" w:cstheme="minorEastAsia"/>
          <w:color w:val="auto"/>
          <w:sz w:val="24"/>
          <w:szCs w:val="24"/>
          <w:highlight w:val="none"/>
        </w:rPr>
        <w:t>本项目</w:t>
      </w:r>
      <w:r>
        <w:rPr>
          <w:rFonts w:hint="eastAsia" w:asciiTheme="minorEastAsia" w:hAnsiTheme="minorEastAsia" w:eastAsiaTheme="minorEastAsia" w:cstheme="minorEastAsia"/>
          <w:color w:val="auto"/>
          <w:sz w:val="24"/>
          <w:szCs w:val="24"/>
          <w:highlight w:val="none"/>
          <w:lang w:eastAsia="zh-CN"/>
        </w:rPr>
        <w:t>不得</w:t>
      </w:r>
      <w:r>
        <w:rPr>
          <w:rFonts w:hint="eastAsia" w:asciiTheme="minorEastAsia" w:hAnsiTheme="minorEastAsia" w:eastAsiaTheme="minorEastAsia" w:cstheme="minorEastAsia"/>
          <w:color w:val="auto"/>
          <w:sz w:val="24"/>
          <w:szCs w:val="24"/>
          <w:highlight w:val="none"/>
          <w:lang w:val="en-US" w:eastAsia="zh-CN"/>
        </w:rPr>
        <w:t>分包、</w:t>
      </w:r>
      <w:r>
        <w:rPr>
          <w:rFonts w:hint="eastAsia" w:asciiTheme="minorEastAsia" w:hAnsiTheme="minorEastAsia" w:eastAsiaTheme="minorEastAsia" w:cstheme="minorEastAsia"/>
          <w:color w:val="auto"/>
          <w:sz w:val="24"/>
          <w:szCs w:val="24"/>
          <w:highlight w:val="none"/>
        </w:rPr>
        <w:t>转包，</w:t>
      </w:r>
      <w:r>
        <w:rPr>
          <w:rFonts w:hint="eastAsia" w:asciiTheme="minorEastAsia" w:hAnsiTheme="minorEastAsia" w:eastAsiaTheme="minorEastAsia" w:cstheme="minorEastAsia"/>
          <w:color w:val="auto"/>
          <w:sz w:val="24"/>
          <w:szCs w:val="24"/>
          <w:highlight w:val="none"/>
          <w:lang w:val="en-US" w:eastAsia="zh-CN"/>
        </w:rPr>
        <w:t>承包人</w:t>
      </w:r>
      <w:r>
        <w:rPr>
          <w:rFonts w:hint="eastAsia" w:asciiTheme="minorEastAsia" w:hAnsiTheme="minorEastAsia" w:eastAsiaTheme="minorEastAsia" w:cstheme="minorEastAsia"/>
          <w:color w:val="auto"/>
          <w:sz w:val="24"/>
          <w:szCs w:val="24"/>
          <w:highlight w:val="none"/>
        </w:rPr>
        <w:t>将任务</w:t>
      </w:r>
      <w:r>
        <w:rPr>
          <w:rFonts w:hint="eastAsia" w:asciiTheme="minorEastAsia" w:hAnsiTheme="minorEastAsia" w:eastAsiaTheme="minorEastAsia" w:cstheme="minorEastAsia"/>
          <w:color w:val="auto"/>
          <w:sz w:val="24"/>
          <w:szCs w:val="24"/>
          <w:highlight w:val="none"/>
          <w:lang w:val="en-US" w:eastAsia="zh-CN"/>
        </w:rPr>
        <w:t>分包、</w:t>
      </w:r>
      <w:r>
        <w:rPr>
          <w:rFonts w:hint="eastAsia" w:asciiTheme="minorEastAsia" w:hAnsiTheme="minorEastAsia" w:eastAsiaTheme="minorEastAsia" w:cstheme="minorEastAsia"/>
          <w:color w:val="auto"/>
          <w:sz w:val="24"/>
          <w:szCs w:val="24"/>
          <w:highlight w:val="none"/>
        </w:rPr>
        <w:t>转包的，</w:t>
      </w:r>
      <w:r>
        <w:rPr>
          <w:rFonts w:hint="eastAsia" w:asciiTheme="minorEastAsia" w:hAnsiTheme="minorEastAsia" w:eastAsiaTheme="minorEastAsia" w:cstheme="minorEastAsia"/>
          <w:color w:val="auto"/>
          <w:sz w:val="24"/>
          <w:szCs w:val="24"/>
          <w:highlight w:val="none"/>
          <w:lang w:val="en-US" w:eastAsia="zh-CN"/>
        </w:rPr>
        <w:t>发包人</w:t>
      </w:r>
      <w:r>
        <w:rPr>
          <w:rFonts w:hint="eastAsia" w:asciiTheme="minorEastAsia" w:hAnsiTheme="minorEastAsia" w:eastAsiaTheme="minorEastAsia" w:cstheme="minorEastAsia"/>
          <w:color w:val="auto"/>
          <w:sz w:val="24"/>
          <w:szCs w:val="24"/>
          <w:highlight w:val="none"/>
        </w:rPr>
        <w:t>有权终止本合同，并计扣</w:t>
      </w:r>
      <w:r>
        <w:rPr>
          <w:rFonts w:hint="eastAsia" w:asciiTheme="minorEastAsia" w:hAnsiTheme="minorEastAsia" w:eastAsiaTheme="minorEastAsia" w:cstheme="minorEastAsia"/>
          <w:color w:val="auto"/>
          <w:sz w:val="24"/>
          <w:szCs w:val="24"/>
          <w:highlight w:val="none"/>
          <w:lang w:val="en-US" w:eastAsia="zh-CN"/>
        </w:rPr>
        <w:t>承包人签约合同总价2</w:t>
      </w:r>
      <w:r>
        <w:rPr>
          <w:rFonts w:hint="eastAsia" w:asciiTheme="minorEastAsia" w:hAnsiTheme="minorEastAsia" w:eastAsiaTheme="minorEastAsia" w:cstheme="minorEastAsia"/>
          <w:color w:val="auto"/>
          <w:sz w:val="24"/>
          <w:szCs w:val="24"/>
          <w:highlight w:val="none"/>
        </w:rPr>
        <w:t>0%的违约金</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承包人</w:t>
      </w:r>
      <w:r>
        <w:rPr>
          <w:rFonts w:hint="eastAsia" w:asciiTheme="minorEastAsia" w:hAnsiTheme="minorEastAsia" w:eastAsiaTheme="minorEastAsia" w:cstheme="minorEastAsia"/>
          <w:color w:val="auto"/>
          <w:sz w:val="24"/>
          <w:szCs w:val="24"/>
          <w:highlight w:val="none"/>
        </w:rPr>
        <w:t>还应当赔偿</w:t>
      </w:r>
      <w:r>
        <w:rPr>
          <w:rFonts w:hint="eastAsia" w:asciiTheme="minorEastAsia" w:hAnsiTheme="minorEastAsia" w:eastAsiaTheme="minorEastAsia" w:cstheme="minorEastAsia"/>
          <w:color w:val="auto"/>
          <w:sz w:val="24"/>
          <w:szCs w:val="24"/>
          <w:highlight w:val="none"/>
          <w:lang w:val="en-US" w:eastAsia="zh-CN"/>
        </w:rPr>
        <w:t>发包人</w:t>
      </w:r>
      <w:r>
        <w:rPr>
          <w:rFonts w:hint="eastAsia" w:asciiTheme="minorEastAsia" w:hAnsiTheme="minorEastAsia" w:eastAsiaTheme="minorEastAsia" w:cstheme="minorEastAsia"/>
          <w:color w:val="auto"/>
          <w:sz w:val="24"/>
          <w:szCs w:val="24"/>
          <w:highlight w:val="none"/>
        </w:rPr>
        <w:t>因此遭受的损失</w:t>
      </w:r>
      <w:r>
        <w:rPr>
          <w:rFonts w:hint="eastAsia" w:asciiTheme="minorEastAsia" w:hAnsiTheme="minorEastAsia" w:eastAsiaTheme="minorEastAsia" w:cstheme="minorEastAsia"/>
          <w:color w:val="auto"/>
          <w:sz w:val="24"/>
          <w:szCs w:val="24"/>
          <w:highlight w:val="none"/>
          <w:lang w:val="en-US" w:eastAsia="zh-CN"/>
        </w:rPr>
        <w:t>。</w:t>
      </w:r>
    </w:p>
    <w:p w14:paraId="7979ED55">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9.12承包人不得将所承接的工作内容以劳务支持或劳务分包的名义委托不具备劳务承包资质的第三方监测机构或单位实施，一经发现，承包人应向发包人支付合同总价20%的违约金且发包人有权即时解除合同，若违约金不足以弥补发包人损失的，发包人有权要求承包人对超出部分继续赔偿。</w:t>
      </w:r>
    </w:p>
    <w:p w14:paraId="266470A9">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9.13因承包人原因导致发生监测纠纷的，所造成的损失由承包人承担且承包人向发包人支付2万元/次的违约金。</w:t>
      </w:r>
    </w:p>
    <w:p w14:paraId="4DEB4FEC">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9.14发包人对监测结果真实性存疑，经第三方检测发现存在弄虚作假行为的，承包人应向发包人支付合同总价20%的违约金且发包人有权即时解除合同，若违约金不足以弥补发包人损失的，发包人有权要求承包人对超出部分继续赔偿。</w:t>
      </w:r>
    </w:p>
    <w:p w14:paraId="5E7E0C62">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snapToGrid w:val="0"/>
          <w:color w:val="auto"/>
          <w:kern w:val="0"/>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zh-CN"/>
        </w:rPr>
        <w:t>9.15本合同违约金总额上限为签约合同价的20%，不足弥补发包人损失的，发包人有权要求承包人对超出部分继续赔偿。</w:t>
      </w:r>
    </w:p>
    <w:p w14:paraId="105359E4">
      <w:pPr>
        <w:pStyle w:val="5"/>
        <w:keepNext w:val="0"/>
        <w:keepLines w:val="0"/>
        <w:widowControl/>
        <w:numPr>
          <w:ilvl w:val="0"/>
          <w:numId w:val="2"/>
        </w:numPr>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知识产权与保密</w:t>
      </w:r>
    </w:p>
    <w:p w14:paraId="794091C2">
      <w:pPr>
        <w:pStyle w:val="5"/>
        <w:keepNext w:val="0"/>
        <w:keepLines w:val="0"/>
        <w:widowControl/>
        <w:numPr>
          <w:ilvl w:val="-1"/>
          <w:numId w:val="0"/>
        </w:numPr>
        <w:suppressLineNumbers w:val="0"/>
        <w:spacing w:line="500" w:lineRule="exact"/>
        <w:ind w:firstLine="480" w:firstLineChars="200"/>
        <w:rPr>
          <w:rFonts w:hint="eastAsia" w:asciiTheme="minorEastAsia" w:hAnsiTheme="minorEastAsia" w:eastAsiaTheme="minorEastAsia" w:cstheme="minorEastAsia"/>
          <w:b w:val="0"/>
          <w:bCs w:val="0"/>
          <w:color w:val="auto"/>
          <w:kern w:val="0"/>
          <w:sz w:val="24"/>
          <w:szCs w:val="24"/>
          <w:highlight w:val="none"/>
          <w:lang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10.1</w:t>
      </w:r>
      <w:r>
        <w:rPr>
          <w:rFonts w:hint="eastAsia" w:asciiTheme="minorEastAsia" w:hAnsiTheme="minorEastAsia" w:eastAsiaTheme="minorEastAsia" w:cstheme="minorEastAsia"/>
          <w:b w:val="0"/>
          <w:bCs w:val="0"/>
          <w:color w:val="auto"/>
          <w:kern w:val="0"/>
          <w:sz w:val="24"/>
          <w:szCs w:val="24"/>
          <w:highlight w:val="none"/>
          <w:lang w:eastAsia="zh-CN"/>
        </w:rPr>
        <w:t>因本合同形成的过程性文件、成果文件等文件资料，</w:t>
      </w:r>
      <w:r>
        <w:rPr>
          <w:rFonts w:hint="eastAsia" w:asciiTheme="minorEastAsia" w:hAnsiTheme="minorEastAsia" w:eastAsiaTheme="minorEastAsia" w:cstheme="minorEastAsia"/>
          <w:b w:val="0"/>
          <w:bCs w:val="0"/>
          <w:color w:val="auto"/>
          <w:kern w:val="0"/>
          <w:sz w:val="24"/>
          <w:szCs w:val="24"/>
          <w:highlight w:val="none"/>
          <w:lang w:val="en-US" w:eastAsia="zh-CN"/>
        </w:rPr>
        <w:t>承包人</w:t>
      </w:r>
      <w:r>
        <w:rPr>
          <w:rFonts w:hint="eastAsia" w:asciiTheme="minorEastAsia" w:hAnsiTheme="minorEastAsia" w:eastAsiaTheme="minorEastAsia" w:cstheme="minorEastAsia"/>
          <w:b w:val="0"/>
          <w:bCs w:val="0"/>
          <w:color w:val="auto"/>
          <w:kern w:val="0"/>
          <w:sz w:val="24"/>
          <w:szCs w:val="24"/>
          <w:highlight w:val="none"/>
          <w:lang w:eastAsia="zh-CN"/>
        </w:rPr>
        <w:t>享有其署名权及根据本合同约定进行修改的权利，其他著作权利由</w:t>
      </w:r>
      <w:r>
        <w:rPr>
          <w:rFonts w:hint="eastAsia" w:asciiTheme="minorEastAsia" w:hAnsiTheme="minorEastAsia" w:eastAsiaTheme="minorEastAsia" w:cstheme="minorEastAsia"/>
          <w:b w:val="0"/>
          <w:bCs w:val="0"/>
          <w:color w:val="auto"/>
          <w:kern w:val="0"/>
          <w:sz w:val="24"/>
          <w:szCs w:val="24"/>
          <w:highlight w:val="none"/>
          <w:lang w:val="en-US" w:eastAsia="zh-CN"/>
        </w:rPr>
        <w:t>发包人</w:t>
      </w:r>
      <w:r>
        <w:rPr>
          <w:rFonts w:hint="eastAsia" w:asciiTheme="minorEastAsia" w:hAnsiTheme="minorEastAsia" w:eastAsiaTheme="minorEastAsia" w:cstheme="minorEastAsia"/>
          <w:b w:val="0"/>
          <w:bCs w:val="0"/>
          <w:color w:val="auto"/>
          <w:kern w:val="0"/>
          <w:sz w:val="24"/>
          <w:szCs w:val="24"/>
          <w:highlight w:val="none"/>
          <w:lang w:eastAsia="zh-CN"/>
        </w:rPr>
        <w:t>享有。</w:t>
      </w:r>
      <w:r>
        <w:rPr>
          <w:rFonts w:hint="eastAsia" w:asciiTheme="minorEastAsia" w:hAnsiTheme="minorEastAsia" w:eastAsiaTheme="minorEastAsia" w:cstheme="minorEastAsia"/>
          <w:b w:val="0"/>
          <w:bCs w:val="0"/>
          <w:color w:val="auto"/>
          <w:kern w:val="0"/>
          <w:sz w:val="24"/>
          <w:szCs w:val="24"/>
          <w:highlight w:val="none"/>
          <w:lang w:val="en-US" w:eastAsia="zh-CN"/>
        </w:rPr>
        <w:t>承包人</w:t>
      </w:r>
      <w:r>
        <w:rPr>
          <w:rFonts w:hint="eastAsia" w:asciiTheme="minorEastAsia" w:hAnsiTheme="minorEastAsia" w:eastAsiaTheme="minorEastAsia" w:cstheme="minorEastAsia"/>
          <w:b w:val="0"/>
          <w:bCs w:val="0"/>
          <w:color w:val="auto"/>
          <w:kern w:val="0"/>
          <w:sz w:val="24"/>
          <w:szCs w:val="24"/>
          <w:highlight w:val="none"/>
          <w:lang w:eastAsia="zh-CN"/>
        </w:rPr>
        <w:t>仅能为实现本合同目的对前述文件进行复制、使用；未经</w:t>
      </w:r>
      <w:r>
        <w:rPr>
          <w:rFonts w:hint="eastAsia" w:asciiTheme="minorEastAsia" w:hAnsiTheme="minorEastAsia" w:eastAsiaTheme="minorEastAsia" w:cstheme="minorEastAsia"/>
          <w:b w:val="0"/>
          <w:bCs w:val="0"/>
          <w:color w:val="auto"/>
          <w:kern w:val="0"/>
          <w:sz w:val="24"/>
          <w:szCs w:val="24"/>
          <w:highlight w:val="none"/>
          <w:lang w:val="en-US" w:eastAsia="zh-CN"/>
        </w:rPr>
        <w:t>发包人</w:t>
      </w:r>
      <w:r>
        <w:rPr>
          <w:rFonts w:hint="eastAsia" w:asciiTheme="minorEastAsia" w:hAnsiTheme="minorEastAsia" w:eastAsiaTheme="minorEastAsia" w:cstheme="minorEastAsia"/>
          <w:b w:val="0"/>
          <w:bCs w:val="0"/>
          <w:color w:val="auto"/>
          <w:kern w:val="0"/>
          <w:sz w:val="24"/>
          <w:szCs w:val="24"/>
          <w:highlight w:val="none"/>
          <w:lang w:eastAsia="zh-CN"/>
        </w:rPr>
        <w:t>书面同意，不得将前述文件及相关信息泄露或转让给任何第三方。</w:t>
      </w:r>
    </w:p>
    <w:p w14:paraId="5119A1EC">
      <w:pPr>
        <w:pStyle w:val="5"/>
        <w:keepNext w:val="0"/>
        <w:keepLines w:val="0"/>
        <w:widowControl/>
        <w:suppressLineNumbers w:val="0"/>
        <w:spacing w:line="500" w:lineRule="exact"/>
        <w:ind w:firstLine="480" w:firstLineChars="200"/>
        <w:rPr>
          <w:rFonts w:hint="eastAsia" w:asciiTheme="minorEastAsia" w:hAnsiTheme="minorEastAsia" w:eastAsiaTheme="minorEastAsia" w:cstheme="minorEastAsia"/>
          <w:b w:val="0"/>
          <w:bCs w:val="0"/>
          <w:color w:val="auto"/>
          <w:kern w:val="0"/>
          <w:sz w:val="24"/>
          <w:szCs w:val="24"/>
          <w:highlight w:val="none"/>
          <w:lang w:eastAsia="zh-CN"/>
        </w:rPr>
      </w:pPr>
      <w:r>
        <w:rPr>
          <w:rFonts w:hint="eastAsia" w:asciiTheme="minorEastAsia" w:hAnsiTheme="minorEastAsia" w:eastAsiaTheme="minorEastAsia" w:cstheme="minorEastAsia"/>
          <w:b w:val="0"/>
          <w:bCs w:val="0"/>
          <w:color w:val="auto"/>
          <w:kern w:val="0"/>
          <w:sz w:val="24"/>
          <w:szCs w:val="24"/>
          <w:highlight w:val="none"/>
          <w:lang w:val="en-US" w:eastAsia="zh-CN"/>
        </w:rPr>
        <w:t>10.2承包人</w:t>
      </w:r>
      <w:r>
        <w:rPr>
          <w:rFonts w:hint="eastAsia" w:asciiTheme="minorEastAsia" w:hAnsiTheme="minorEastAsia" w:eastAsiaTheme="minorEastAsia" w:cstheme="minorEastAsia"/>
          <w:b w:val="0"/>
          <w:bCs w:val="0"/>
          <w:color w:val="auto"/>
          <w:kern w:val="0"/>
          <w:sz w:val="24"/>
          <w:szCs w:val="24"/>
          <w:highlight w:val="none"/>
          <w:lang w:eastAsia="zh-CN"/>
        </w:rPr>
        <w:t>应确保其在提供本合同过程中及其提交的相关文件资料，不存在侵犯第三方著作权、专利权等知识产权、合法权益的行为。否则，因此产生的一切责任及损失均由</w:t>
      </w:r>
      <w:r>
        <w:rPr>
          <w:rFonts w:hint="eastAsia" w:asciiTheme="minorEastAsia" w:hAnsiTheme="minorEastAsia" w:eastAsiaTheme="minorEastAsia" w:cstheme="minorEastAsia"/>
          <w:b w:val="0"/>
          <w:bCs w:val="0"/>
          <w:color w:val="auto"/>
          <w:kern w:val="0"/>
          <w:sz w:val="24"/>
          <w:szCs w:val="24"/>
          <w:highlight w:val="none"/>
          <w:lang w:val="en-US" w:eastAsia="zh-CN"/>
        </w:rPr>
        <w:t>承包人</w:t>
      </w:r>
      <w:r>
        <w:rPr>
          <w:rFonts w:hint="eastAsia" w:asciiTheme="minorEastAsia" w:hAnsiTheme="minorEastAsia" w:eastAsiaTheme="minorEastAsia" w:cstheme="minorEastAsia"/>
          <w:b w:val="0"/>
          <w:bCs w:val="0"/>
          <w:color w:val="auto"/>
          <w:kern w:val="0"/>
          <w:sz w:val="24"/>
          <w:szCs w:val="24"/>
          <w:highlight w:val="none"/>
          <w:lang w:eastAsia="zh-CN"/>
        </w:rPr>
        <w:t>承担，因此导致</w:t>
      </w:r>
      <w:r>
        <w:rPr>
          <w:rFonts w:hint="eastAsia" w:asciiTheme="minorEastAsia" w:hAnsiTheme="minorEastAsia" w:eastAsiaTheme="minorEastAsia" w:cstheme="minorEastAsia"/>
          <w:b w:val="0"/>
          <w:bCs w:val="0"/>
          <w:color w:val="auto"/>
          <w:kern w:val="0"/>
          <w:sz w:val="24"/>
          <w:szCs w:val="24"/>
          <w:highlight w:val="none"/>
          <w:lang w:val="en-US" w:eastAsia="zh-CN"/>
        </w:rPr>
        <w:t>发包人</w:t>
      </w:r>
      <w:r>
        <w:rPr>
          <w:rFonts w:hint="eastAsia" w:asciiTheme="minorEastAsia" w:hAnsiTheme="minorEastAsia" w:eastAsiaTheme="minorEastAsia" w:cstheme="minorEastAsia"/>
          <w:b w:val="0"/>
          <w:bCs w:val="0"/>
          <w:color w:val="auto"/>
          <w:kern w:val="0"/>
          <w:sz w:val="24"/>
          <w:szCs w:val="24"/>
          <w:highlight w:val="none"/>
          <w:lang w:eastAsia="zh-CN"/>
        </w:rPr>
        <w:t>遭受损失的，由</w:t>
      </w:r>
      <w:r>
        <w:rPr>
          <w:rFonts w:hint="eastAsia" w:asciiTheme="minorEastAsia" w:hAnsiTheme="minorEastAsia" w:eastAsiaTheme="minorEastAsia" w:cstheme="minorEastAsia"/>
          <w:b w:val="0"/>
          <w:bCs w:val="0"/>
          <w:color w:val="auto"/>
          <w:kern w:val="0"/>
          <w:sz w:val="24"/>
          <w:szCs w:val="24"/>
          <w:highlight w:val="none"/>
          <w:lang w:val="en-US" w:eastAsia="zh-CN"/>
        </w:rPr>
        <w:t>承包人按《承包人违约情形一览表》向发包人支付违约金</w:t>
      </w:r>
      <w:r>
        <w:rPr>
          <w:rFonts w:hint="eastAsia" w:asciiTheme="minorEastAsia" w:hAnsiTheme="minorEastAsia" w:eastAsiaTheme="minorEastAsia" w:cstheme="minorEastAsia"/>
          <w:b w:val="0"/>
          <w:bCs w:val="0"/>
          <w:color w:val="auto"/>
          <w:kern w:val="0"/>
          <w:sz w:val="24"/>
          <w:szCs w:val="24"/>
          <w:highlight w:val="none"/>
          <w:lang w:eastAsia="zh-CN"/>
        </w:rPr>
        <w:t>。</w:t>
      </w:r>
    </w:p>
    <w:p w14:paraId="4AA8C8C6">
      <w:pPr>
        <w:pStyle w:val="5"/>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第十一条 争议解决</w:t>
      </w:r>
    </w:p>
    <w:p w14:paraId="05A67CBB">
      <w:pPr>
        <w:pStyle w:val="15"/>
        <w:keepNext w:val="0"/>
        <w:keepLines w:val="0"/>
        <w:widowControl/>
        <w:suppressLineNumbers w:val="0"/>
        <w:spacing w:beforeAutospacing="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本合同履行发生争议，双方先行友好协商；协商不成，提交项目所在地人民法院诉讼解决。</w:t>
      </w:r>
    </w:p>
    <w:p w14:paraId="0C4FB6BF">
      <w:pPr>
        <w:pStyle w:val="5"/>
        <w:keepNext w:val="0"/>
        <w:keepLines w:val="0"/>
        <w:widowControl/>
        <w:suppressLineNumbers w:val="0"/>
        <w:spacing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第十二条 其他约定</w:t>
      </w:r>
    </w:p>
    <w:p w14:paraId="2C98C4CA">
      <w:pPr>
        <w:keepNext w:val="0"/>
        <w:keepLines w:val="0"/>
        <w:widowControl/>
        <w:numPr>
          <w:ilvl w:val="0"/>
          <w:numId w:val="0"/>
        </w:numPr>
        <w:suppressLineNumbers w:val="0"/>
        <w:spacing w:before="0" w:beforeAutospacing="0" w:after="0" w:afterAutospacing="0" w:line="500" w:lineRule="exact"/>
        <w:ind w:left="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12.1</w:t>
      </w:r>
      <w:r>
        <w:rPr>
          <w:rFonts w:hint="eastAsia" w:asciiTheme="minorEastAsia" w:hAnsiTheme="minorEastAsia" w:eastAsiaTheme="minorEastAsia" w:cstheme="minorEastAsia"/>
          <w:color w:val="auto"/>
          <w:sz w:val="24"/>
          <w:szCs w:val="24"/>
          <w:highlight w:val="none"/>
        </w:rPr>
        <w:t>本合同未尽事宜，双方可签订补充协议，补充协议与本合同具有同等法律效力；</w:t>
      </w:r>
    </w:p>
    <w:p w14:paraId="39731568">
      <w:pPr>
        <w:keepNext w:val="0"/>
        <w:keepLines w:val="0"/>
        <w:widowControl/>
        <w:numPr>
          <w:ilvl w:val="0"/>
          <w:numId w:val="0"/>
        </w:numPr>
        <w:suppressLineNumbers w:val="0"/>
        <w:spacing w:beforeAutospacing="0" w:afterAutospacing="0" w:line="500" w:lineRule="exact"/>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bidi="ar-SA"/>
        </w:rPr>
        <w:t>12.2</w:t>
      </w:r>
      <w:r>
        <w:rPr>
          <w:rFonts w:hint="eastAsia" w:asciiTheme="minorEastAsia" w:hAnsiTheme="minorEastAsia" w:eastAsiaTheme="minorEastAsia" w:cstheme="minorEastAsia"/>
          <w:color w:val="auto"/>
          <w:sz w:val="24"/>
          <w:szCs w:val="24"/>
          <w:highlight w:val="none"/>
        </w:rPr>
        <w:t>本合同一式____份，</w:t>
      </w:r>
      <w:r>
        <w:rPr>
          <w:rFonts w:hint="eastAsia" w:asciiTheme="minorEastAsia" w:hAnsiTheme="minorEastAsia" w:eastAsiaTheme="minorEastAsia" w:cstheme="minorEastAsia"/>
          <w:color w:val="auto"/>
          <w:sz w:val="24"/>
          <w:szCs w:val="24"/>
          <w:highlight w:val="none"/>
          <w:lang w:eastAsia="zh-CN"/>
        </w:rPr>
        <w:t>发包人</w:t>
      </w:r>
      <w:r>
        <w:rPr>
          <w:rFonts w:hint="eastAsia" w:asciiTheme="minorEastAsia" w:hAnsiTheme="minorEastAsia" w:eastAsiaTheme="minorEastAsia" w:cstheme="minorEastAsia"/>
          <w:color w:val="auto"/>
          <w:sz w:val="24"/>
          <w:szCs w:val="24"/>
          <w:highlight w:val="none"/>
        </w:rPr>
        <w:t>执____份，</w:t>
      </w:r>
      <w:r>
        <w:rPr>
          <w:rFonts w:hint="eastAsia" w:asciiTheme="minorEastAsia" w:hAnsiTheme="minorEastAsia" w:eastAsiaTheme="minorEastAsia" w:cstheme="minorEastAsia"/>
          <w:color w:val="auto"/>
          <w:sz w:val="24"/>
          <w:szCs w:val="24"/>
          <w:highlight w:val="none"/>
          <w:lang w:eastAsia="zh-CN"/>
        </w:rPr>
        <w:t>承包人</w:t>
      </w:r>
      <w:r>
        <w:rPr>
          <w:rFonts w:hint="eastAsia" w:asciiTheme="minorEastAsia" w:hAnsiTheme="minorEastAsia" w:eastAsiaTheme="minorEastAsia" w:cstheme="minorEastAsia"/>
          <w:color w:val="auto"/>
          <w:sz w:val="24"/>
          <w:szCs w:val="24"/>
          <w:highlight w:val="none"/>
        </w:rPr>
        <w:t>执____份，自甲乙双方签字盖章之日生效</w:t>
      </w:r>
    </w:p>
    <w:p w14:paraId="6FEC07C1">
      <w:pPr>
        <w:pStyle w:val="5"/>
        <w:keepNext w:val="0"/>
        <w:keepLines w:val="0"/>
        <w:widowControl/>
        <w:suppressLineNumbers w:val="0"/>
        <w:spacing w:line="500" w:lineRule="exac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第十</w:t>
      </w:r>
      <w:r>
        <w:rPr>
          <w:rFonts w:hint="eastAsia" w:asciiTheme="minorEastAsia" w:hAnsiTheme="minorEastAsia" w:eastAsiaTheme="minorEastAsia" w:cstheme="minorEastAsia"/>
          <w:color w:val="auto"/>
          <w:highlight w:val="none"/>
          <w:lang w:val="en-US" w:eastAsia="zh-CN"/>
        </w:rPr>
        <w:t>三</w:t>
      </w:r>
      <w:r>
        <w:rPr>
          <w:rFonts w:hint="eastAsia" w:asciiTheme="minorEastAsia" w:hAnsiTheme="minorEastAsia" w:eastAsiaTheme="minorEastAsia" w:cstheme="minorEastAsia"/>
          <w:color w:val="auto"/>
          <w:highlight w:val="none"/>
        </w:rPr>
        <w:t xml:space="preserve">条 </w:t>
      </w:r>
      <w:r>
        <w:rPr>
          <w:rFonts w:hint="eastAsia" w:asciiTheme="minorEastAsia" w:hAnsiTheme="minorEastAsia" w:eastAsiaTheme="minorEastAsia" w:cstheme="minorEastAsia"/>
          <w:color w:val="auto"/>
          <w:highlight w:val="none"/>
          <w:lang w:val="en-US" w:eastAsia="zh-CN"/>
        </w:rPr>
        <w:t>附件</w:t>
      </w:r>
    </w:p>
    <w:p w14:paraId="03124B71">
      <w:pPr>
        <w:pStyle w:val="15"/>
        <w:keepNext w:val="0"/>
        <w:keepLines w:val="0"/>
        <w:widowControl/>
        <w:suppressLineNumbers w:val="0"/>
        <w:rPr>
          <w:rFonts w:hint="eastAsia" w:asciiTheme="minorEastAsia" w:hAnsiTheme="minorEastAsia" w:eastAsiaTheme="minorEastAsia" w:cstheme="minorEastAsia"/>
          <w:color w:val="auto"/>
          <w:szCs w:val="24"/>
          <w:highlight w:val="none"/>
        </w:rPr>
        <w:sectPr>
          <w:pgSz w:w="11906" w:h="16839"/>
          <w:pgMar w:top="1431" w:right="1134" w:bottom="1048" w:left="1134" w:header="0" w:footer="886" w:gutter="0"/>
          <w:pgNumType w:fmt="decimal"/>
          <w:cols w:space="720" w:num="1"/>
          <w:docGrid w:type="lines" w:linePitch="312" w:charSpace="0"/>
        </w:sectPr>
      </w:pPr>
    </w:p>
    <w:p w14:paraId="3E70163A">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附件 1：中标通知书</w:t>
      </w:r>
    </w:p>
    <w:p w14:paraId="5ADDDD1E">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附件 2：工程建设项目廉政责任书</w:t>
      </w:r>
    </w:p>
    <w:p w14:paraId="336B81A1">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附件 3：承包人违约情形一览表</w:t>
      </w:r>
    </w:p>
    <w:p w14:paraId="115A31AB">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p>
    <w:p w14:paraId="7E140A49">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p>
    <w:p w14:paraId="376352D9">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p>
    <w:p w14:paraId="0226E54E">
      <w:pPr>
        <w:pStyle w:val="15"/>
        <w:keepNext w:val="0"/>
        <w:keepLines w:val="0"/>
        <w:widowControl/>
        <w:suppressLineNumbers w:val="0"/>
        <w:rPr>
          <w:rFonts w:hint="eastAsia" w:asciiTheme="minorEastAsia" w:hAnsiTheme="minorEastAsia" w:eastAsiaTheme="minorEastAsia" w:cstheme="minorEastAsia"/>
          <w:color w:val="auto"/>
          <w:szCs w:val="24"/>
          <w:highlight w:val="none"/>
          <w:lang w:eastAsia="zh-CN"/>
        </w:rPr>
      </w:pPr>
    </w:p>
    <w:p w14:paraId="073BA77B">
      <w:pPr>
        <w:pStyle w:val="15"/>
        <w:keepNext w:val="0"/>
        <w:keepLines w:val="0"/>
        <w:widowControl/>
        <w:suppressLineNumbers w:val="0"/>
        <w:rPr>
          <w:rFonts w:hint="eastAsia" w:asciiTheme="minorEastAsia" w:hAnsiTheme="minorEastAsia" w:eastAsiaTheme="minorEastAsia" w:cstheme="minorEastAsia"/>
          <w:color w:val="auto"/>
          <w:szCs w:val="24"/>
          <w:highlight w:val="none"/>
          <w:lang w:eastAsia="zh-CN"/>
        </w:rPr>
      </w:pPr>
    </w:p>
    <w:p w14:paraId="23F1A6BE">
      <w:pPr>
        <w:pStyle w:val="15"/>
        <w:keepNext w:val="0"/>
        <w:keepLines w:val="0"/>
        <w:widowControl/>
        <w:suppressLineNumbers w:val="0"/>
        <w:rPr>
          <w:rFonts w:hint="eastAsia" w:asciiTheme="minorEastAsia" w:hAnsiTheme="minorEastAsia" w:eastAsiaTheme="minorEastAsia" w:cstheme="minorEastAsia"/>
          <w:color w:val="auto"/>
          <w:szCs w:val="24"/>
          <w:highlight w:val="none"/>
          <w:lang w:eastAsia="zh-CN"/>
        </w:rPr>
      </w:pPr>
    </w:p>
    <w:p w14:paraId="646C8315">
      <w:pPr>
        <w:pStyle w:val="15"/>
        <w:keepNext w:val="0"/>
        <w:keepLines w:val="0"/>
        <w:widowControl/>
        <w:suppressLineNumbers w:val="0"/>
        <w:rPr>
          <w:rFonts w:hint="eastAsia" w:asciiTheme="minorEastAsia" w:hAnsiTheme="minorEastAsia" w:eastAsiaTheme="minorEastAsia" w:cstheme="minorEastAsia"/>
          <w:color w:val="auto"/>
          <w:szCs w:val="24"/>
          <w:highlight w:val="none"/>
          <w:lang w:eastAsia="zh-CN"/>
        </w:rPr>
      </w:pPr>
    </w:p>
    <w:p w14:paraId="15FABE62">
      <w:pPr>
        <w:pStyle w:val="15"/>
        <w:keepNext w:val="0"/>
        <w:keepLines w:val="0"/>
        <w:widowControl/>
        <w:suppressLineNumbers w:val="0"/>
        <w:rPr>
          <w:rFonts w:hint="eastAsia" w:asciiTheme="minorEastAsia" w:hAnsiTheme="minorEastAsia" w:eastAsiaTheme="minorEastAsia" w:cstheme="minorEastAsia"/>
          <w:color w:val="auto"/>
          <w:szCs w:val="24"/>
          <w:highlight w:val="none"/>
          <w:lang w:eastAsia="zh-CN"/>
        </w:rPr>
      </w:pPr>
    </w:p>
    <w:p w14:paraId="1686A19A">
      <w:pPr>
        <w:pStyle w:val="15"/>
        <w:keepNext w:val="0"/>
        <w:keepLines w:val="0"/>
        <w:widowControl/>
        <w:suppressLineNumbers w:val="0"/>
        <w:rPr>
          <w:rFonts w:hint="eastAsia" w:asciiTheme="minorEastAsia" w:hAnsiTheme="minorEastAsia" w:eastAsiaTheme="minorEastAsia" w:cstheme="minorEastAsia"/>
          <w:color w:val="auto"/>
          <w:szCs w:val="24"/>
          <w:highlight w:val="none"/>
          <w:lang w:eastAsia="zh-CN"/>
        </w:rPr>
      </w:pPr>
    </w:p>
    <w:p w14:paraId="1D225FAA">
      <w:pPr>
        <w:pStyle w:val="15"/>
        <w:keepNext w:val="0"/>
        <w:keepLines w:val="0"/>
        <w:widowControl/>
        <w:suppressLineNumbers w:val="0"/>
        <w:rPr>
          <w:rFonts w:hint="eastAsia" w:asciiTheme="minorEastAsia" w:hAnsiTheme="minorEastAsia" w:eastAsiaTheme="minorEastAsia" w:cstheme="minorEastAsia"/>
          <w:color w:val="auto"/>
          <w:szCs w:val="24"/>
          <w:highlight w:val="none"/>
          <w:lang w:eastAsia="zh-CN"/>
        </w:rPr>
      </w:pPr>
    </w:p>
    <w:p w14:paraId="441A7CB7">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eastAsia="zh-CN"/>
        </w:rPr>
        <w:t>发包人</w:t>
      </w:r>
      <w:r>
        <w:rPr>
          <w:rFonts w:hint="eastAsia" w:asciiTheme="minorEastAsia" w:hAnsiTheme="minorEastAsia" w:eastAsiaTheme="minorEastAsia" w:cstheme="minorEastAsia"/>
          <w:color w:val="auto"/>
          <w:szCs w:val="24"/>
          <w:highlight w:val="none"/>
        </w:rPr>
        <w:t xml:space="preserve">（盖章）：________________ </w:t>
      </w:r>
    </w:p>
    <w:p w14:paraId="77181590">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法定代表人 / 授权代表：________________ </w:t>
      </w:r>
    </w:p>
    <w:p w14:paraId="27305C31">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日期：______年____月____日</w:t>
      </w:r>
    </w:p>
    <w:p w14:paraId="41979500">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p>
    <w:p w14:paraId="7872D7BC">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p>
    <w:p w14:paraId="2BD5DA57">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eastAsia="zh-CN"/>
        </w:rPr>
        <w:t>承包人</w:t>
      </w:r>
      <w:r>
        <w:rPr>
          <w:rFonts w:hint="eastAsia" w:asciiTheme="minorEastAsia" w:hAnsiTheme="minorEastAsia" w:eastAsiaTheme="minorEastAsia" w:cstheme="minorEastAsia"/>
          <w:color w:val="auto"/>
          <w:szCs w:val="24"/>
          <w:highlight w:val="none"/>
        </w:rPr>
        <w:t xml:space="preserve">（盖章）：________________ </w:t>
      </w:r>
    </w:p>
    <w:p w14:paraId="4A868A8C">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法定代表人 / 授权代表：________________ </w:t>
      </w:r>
    </w:p>
    <w:p w14:paraId="3F883595">
      <w:pPr>
        <w:pStyle w:val="15"/>
        <w:keepNext w:val="0"/>
        <w:keepLines w:val="0"/>
        <w:widowControl/>
        <w:suppressLineNumbers w:val="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日期：______年____月____日</w:t>
      </w:r>
    </w:p>
    <w:p w14:paraId="328982A3">
      <w:pPr>
        <w:keepNext w:val="0"/>
        <w:keepLines w:val="0"/>
        <w:pageBreakBefore w:val="0"/>
        <w:widowControl/>
        <w:wordWrap/>
        <w:overflowPunct/>
        <w:topLinePunct w:val="0"/>
        <w:bidi w:val="0"/>
        <w:spacing w:line="560" w:lineRule="exact"/>
        <w:ind w:right="0"/>
        <w:jc w:val="left"/>
        <w:rPr>
          <w:rFonts w:hint="eastAsia" w:ascii="宋体" w:hAnsi="宋体" w:eastAsia="宋体" w:cs="宋体"/>
          <w:b/>
          <w:color w:val="auto"/>
          <w:sz w:val="24"/>
          <w:szCs w:val="24"/>
          <w:highlight w:val="none"/>
        </w:rPr>
        <w:sectPr>
          <w:type w:val="continuous"/>
          <w:pgSz w:w="11906" w:h="16839"/>
          <w:pgMar w:top="1431" w:right="1134" w:bottom="1048" w:left="1134" w:header="0" w:footer="886" w:gutter="0"/>
          <w:pgNumType w:fmt="decimal"/>
          <w:cols w:equalWidth="0" w:num="2">
            <w:col w:w="4606" w:space="425"/>
            <w:col w:w="4606"/>
          </w:cols>
          <w:docGrid w:type="lines" w:linePitch="312" w:charSpace="0"/>
        </w:sectPr>
      </w:pPr>
    </w:p>
    <w:tbl>
      <w:tblPr>
        <w:tblStyle w:val="17"/>
        <w:tblW w:w="9207" w:type="dxa"/>
        <w:jc w:val="center"/>
        <w:tblLayout w:type="fixed"/>
        <w:tblCellMar>
          <w:top w:w="0" w:type="dxa"/>
          <w:left w:w="108" w:type="dxa"/>
          <w:bottom w:w="0" w:type="dxa"/>
          <w:right w:w="108" w:type="dxa"/>
        </w:tblCellMar>
      </w:tblPr>
      <w:tblGrid>
        <w:gridCol w:w="9207"/>
      </w:tblGrid>
      <w:tr w14:paraId="7DDFDE4C">
        <w:trPr>
          <w:jc w:val="center"/>
        </w:trPr>
        <w:tc>
          <w:tcPr>
            <w:tcW w:w="9207" w:type="dxa"/>
            <w:noWrap w:val="0"/>
            <w:vAlign w:val="top"/>
          </w:tcPr>
          <w:p w14:paraId="4DAF8D3A">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cs="宋体"/>
                <w:color w:val="auto"/>
                <w:sz w:val="24"/>
                <w:szCs w:val="24"/>
                <w:highlight w:val="none"/>
              </w:rPr>
            </w:pPr>
          </w:p>
        </w:tc>
      </w:tr>
    </w:tbl>
    <w:p w14:paraId="774273D9">
      <w:pPr>
        <w:outlineLvl w:val="2"/>
        <w:rPr>
          <w:rFonts w:hint="eastAsia" w:ascii="宋体" w:hAnsi="宋体" w:eastAsia="宋体" w:cs="Times New Roman"/>
          <w:color w:val="auto"/>
          <w:highlight w:val="none"/>
          <w:lang w:val="en-US" w:eastAsia="zh-CN"/>
        </w:rPr>
        <w:sectPr>
          <w:footerReference r:id="rId14" w:type="default"/>
          <w:type w:val="continuous"/>
          <w:pgSz w:w="11906" w:h="16839"/>
          <w:pgMar w:top="1431" w:right="1134" w:bottom="1048" w:left="1134" w:header="0" w:footer="886" w:gutter="0"/>
          <w:pgNumType w:fmt="decimal"/>
          <w:cols w:space="720" w:num="1"/>
        </w:sectPr>
      </w:pPr>
    </w:p>
    <w:p w14:paraId="3905AD86">
      <w:pPr>
        <w:outlineLvl w:val="2"/>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附件 1：中标通知书</w:t>
      </w:r>
    </w:p>
    <w:p w14:paraId="5F0A6127">
      <w:pPr>
        <w:pStyle w:val="10"/>
        <w:pageBreakBefore w:val="0"/>
        <w:overflowPunct/>
        <w:bidi w:val="0"/>
        <w:spacing w:line="243" w:lineRule="auto"/>
        <w:ind w:right="0"/>
        <w:rPr>
          <w:color w:val="auto"/>
          <w:highlight w:val="none"/>
        </w:rPr>
        <w:sectPr>
          <w:pgSz w:w="11906" w:h="16839"/>
          <w:pgMar w:top="1431" w:right="1134" w:bottom="1048" w:left="1134" w:header="0" w:footer="886" w:gutter="0"/>
          <w:pgNumType w:fmt="decimal"/>
          <w:cols w:space="720" w:num="1"/>
        </w:sectPr>
      </w:pPr>
    </w:p>
    <w:p w14:paraId="408212F4">
      <w:pPr>
        <w:outlineLvl w:val="2"/>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附件 2：工程建设项目廉政责任书</w:t>
      </w:r>
    </w:p>
    <w:p w14:paraId="43EF385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Times New Roman"/>
          <w:b/>
          <w:bCs/>
          <w:color w:val="auto"/>
          <w:sz w:val="28"/>
          <w:szCs w:val="28"/>
          <w:highlight w:val="none"/>
          <w:lang w:val="en-US" w:eastAsia="zh-CN"/>
        </w:rPr>
      </w:pPr>
      <w:r>
        <w:rPr>
          <w:rFonts w:hint="eastAsia" w:ascii="宋体" w:hAnsi="宋体" w:eastAsia="宋体" w:cs="Times New Roman"/>
          <w:b/>
          <w:bCs/>
          <w:color w:val="auto"/>
          <w:sz w:val="28"/>
          <w:szCs w:val="28"/>
          <w:highlight w:val="none"/>
          <w:lang w:val="en-US" w:eastAsia="zh-CN"/>
        </w:rPr>
        <w:t>工程建设项目廉政责任书</w:t>
      </w:r>
    </w:p>
    <w:p w14:paraId="1D1C2E8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Times New Roman"/>
          <w:color w:val="auto"/>
          <w:highlight w:val="none"/>
          <w:lang w:val="en-US" w:eastAsia="zh-CN"/>
        </w:rPr>
      </w:pPr>
    </w:p>
    <w:p w14:paraId="0612F27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b/>
          <w:bCs/>
          <w:color w:val="auto"/>
          <w:highlight w:val="none"/>
          <w:lang w:val="en-US" w:eastAsia="zh-CN"/>
        </w:rPr>
        <w:t>发包人：</w:t>
      </w:r>
      <w:r>
        <w:rPr>
          <w:rFonts w:hint="eastAsia" w:ascii="宋体" w:hAnsi="宋体" w:eastAsia="宋体" w:cs="Times New Roman"/>
          <w:color w:val="auto"/>
          <w:highlight w:val="none"/>
          <w:u w:val="single"/>
          <w:lang w:val="en-US" w:eastAsia="zh-CN"/>
        </w:rPr>
        <w:t>广东顺控水务投资建设有限公司</w:t>
      </w:r>
    </w:p>
    <w:p w14:paraId="14035F43">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eastAsia="宋体" w:cs="Times New Roman"/>
          <w:color w:val="auto"/>
          <w:highlight w:val="none"/>
          <w:lang w:val="en-US" w:eastAsia="zh-CN"/>
        </w:rPr>
      </w:pPr>
      <w:r>
        <w:rPr>
          <w:rFonts w:hint="eastAsia" w:ascii="宋体" w:hAnsi="宋体" w:eastAsia="宋体" w:cs="Times New Roman"/>
          <w:b/>
          <w:bCs/>
          <w:color w:val="auto"/>
          <w:highlight w:val="none"/>
          <w:lang w:val="en-US" w:eastAsia="zh-CN"/>
        </w:rPr>
        <w:t>承包人：</w:t>
      </w:r>
      <w:r>
        <w:rPr>
          <w:rFonts w:hint="eastAsia" w:ascii="宋体" w:hAnsi="宋体" w:eastAsia="宋体" w:cs="Times New Roman"/>
          <w:color w:val="auto"/>
          <w:highlight w:val="none"/>
          <w:u w:val="single"/>
          <w:lang w:val="en-US" w:eastAsia="zh-CN"/>
        </w:rPr>
        <w:t xml:space="preserve">                            </w:t>
      </w:r>
    </w:p>
    <w:p w14:paraId="5ADDCFA0">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p>
    <w:p w14:paraId="0053A961">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为加强工程建设中的廉政建设，规范工程建设过程中双方的各项活动，防止发生各种谋取不正当利益的违法违纪行为，保护国家、集体和当事人的合法权益，根据国家有关工程建设的法律法规和廉政建设责任制规定，特订立本廉政责任书。</w:t>
      </w:r>
    </w:p>
    <w:p w14:paraId="2DD54E25">
      <w:pPr>
        <w:keepNext w:val="0"/>
        <w:keepLines w:val="0"/>
        <w:pageBreakBefore w:val="0"/>
        <w:widowControl w:val="0"/>
        <w:kinsoku/>
        <w:wordWrap/>
        <w:overflowPunct/>
        <w:topLinePunct w:val="0"/>
        <w:autoSpaceDE/>
        <w:autoSpaceDN/>
        <w:bidi w:val="0"/>
        <w:adjustRightInd/>
        <w:snapToGrid/>
        <w:ind w:left="0" w:leftChars="0" w:firstLine="422" w:firstLineChars="200"/>
        <w:textAlignment w:val="auto"/>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第一条 发包人和承包人双方的责任</w:t>
      </w:r>
    </w:p>
    <w:p w14:paraId="68C0830D">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(一)应严格遵守国家关于工程建设、工程监理和市场活动等有关法律、法规，相关政策，以及廉政建设的各项规定。</w:t>
      </w:r>
    </w:p>
    <w:p w14:paraId="2D4C87A6">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(二)严格执行建设工程项目施工经营管理责任合同文件，自觉按合同办事。</w:t>
      </w:r>
    </w:p>
    <w:p w14:paraId="11E577B2">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(三)业务活动必须坚持公开、公平、公正、诚信、透明的原则(除法律法规另有规定者外)，不得为获取不正当的利益，损害国家、集体和对方利益，不得违反工程建设管理、建设监理的规章制度。</w:t>
      </w:r>
    </w:p>
    <w:p w14:paraId="6A63FB94">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(四)发现对方在业务活动中有违规、违纪、违法行为的，应及时提醒对方，情节严重的，应向其上级主管部门或纪检监察、司法等有关机关举报。</w:t>
      </w:r>
    </w:p>
    <w:p w14:paraId="2743CF58">
      <w:pPr>
        <w:keepNext w:val="0"/>
        <w:keepLines w:val="0"/>
        <w:pageBreakBefore w:val="0"/>
        <w:widowControl w:val="0"/>
        <w:kinsoku/>
        <w:wordWrap/>
        <w:overflowPunct/>
        <w:topLinePunct w:val="0"/>
        <w:autoSpaceDE/>
        <w:autoSpaceDN/>
        <w:bidi w:val="0"/>
        <w:adjustRightInd/>
        <w:snapToGrid/>
        <w:ind w:left="0" w:leftChars="0" w:firstLine="422" w:firstLineChars="200"/>
        <w:textAlignment w:val="auto"/>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第二条 发包人的责任</w:t>
      </w:r>
    </w:p>
    <w:p w14:paraId="23C2FB41">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发包人的领导和从事该建设工程项目的工作人员，在工程建设的事前、事中、事后应遵守以下规定：</w:t>
      </w:r>
    </w:p>
    <w:p w14:paraId="61B6EF06">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(一)不准向承包人和相关单位索要或接受回扣、礼金、有价证券、贵重物品和好处费、感谢费等。</w:t>
      </w:r>
    </w:p>
    <w:p w14:paraId="02C30C02">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(二)不准在承包人和相关单位报销任何应由发包人或个人支付的费用。</w:t>
      </w:r>
    </w:p>
    <w:p w14:paraId="2A728EC8">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(三)不准要求、暗示和接受承包人和相关单位为个人装修住房、婚丧嫁娶、配偶子女的工作安排以及出国(境)旅游等提供方便。</w:t>
      </w:r>
    </w:p>
    <w:p w14:paraId="632273AA">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(四)不准参加有可能影响公正执行公务的承包人和相关单位的宴请、健身、娱乐等活动。</w:t>
      </w:r>
    </w:p>
    <w:p w14:paraId="320CCFD9">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(五) 不准有关人员的配偶、子女、亲属参加与工程项目合同有关的活动。不准向承包人介绍配偶、子女、亲属参与同项目工程合同有关的设备采购、材料采购、工程分包、劳务等经济活动。不得以任何理由向承包人和相关单位要求购买与项目工程合同规定以外的材料、设备等。</w:t>
      </w:r>
    </w:p>
    <w:p w14:paraId="2EAED52A">
      <w:pPr>
        <w:keepNext w:val="0"/>
        <w:keepLines w:val="0"/>
        <w:pageBreakBefore w:val="0"/>
        <w:widowControl w:val="0"/>
        <w:kinsoku/>
        <w:wordWrap/>
        <w:overflowPunct/>
        <w:topLinePunct w:val="0"/>
        <w:autoSpaceDE/>
        <w:autoSpaceDN/>
        <w:bidi w:val="0"/>
        <w:adjustRightInd/>
        <w:snapToGrid/>
        <w:ind w:left="0" w:leftChars="0" w:firstLine="422" w:firstLineChars="200"/>
        <w:textAlignment w:val="auto"/>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第三条 承包人的责任</w:t>
      </w:r>
    </w:p>
    <w:p w14:paraId="13C2BB9F">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应与发包人和相关单位保持正常的业务交往，按照有关法律法规和程序开展业务工作，严格执行工程建设的有关方针、政策，尤其是有关勘察设计、建筑施工安装的强制性标准和规范，以及监理法规，认真履行相关职责，并遵守以下规定：</w:t>
      </w:r>
    </w:p>
    <w:p w14:paraId="53021233">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(一)不准以任何理由向发包人、相关单位及其工作人员赠送礼金、有价证券、贵重物品，不准以任何理由为发包人、相关单位及其工作人员提供回扣、好处费、感谢费等。</w:t>
      </w:r>
    </w:p>
    <w:p w14:paraId="2448B8D6">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(二)不准以任何理由为发包人和相关单位报销应由对方或个人支付的费用。</w:t>
      </w:r>
    </w:p>
    <w:p w14:paraId="39600E57">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(三)不准接受或暗示为发包人、相关单位或个人装修住房、婚丧嫁娶、配偶子女的工作安排以及出国(境)、旅游等提供方便。</w:t>
      </w:r>
    </w:p>
    <w:p w14:paraId="14938471">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(四)不准以任何理由为发包人、相关单位或个人组织有可能影响公正执行公务的宴请、健身、娱乐等活动。</w:t>
      </w:r>
    </w:p>
    <w:p w14:paraId="6346E6A3">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五)不准允许发包人工作人员的配偶、子女、亲属参与工程项目的有关活动。不准将工程项目有关的设备采购、材料采购、工程分包、劳务等经济活动承包、转包给发包人工作人员的配偶、子女、亲属等相关人员，不得以任何理由为发包人和相关单位购买工程项目合同规定外的材料、设备。</w:t>
      </w:r>
    </w:p>
    <w:p w14:paraId="28218A89">
      <w:pPr>
        <w:keepNext w:val="0"/>
        <w:keepLines w:val="0"/>
        <w:pageBreakBefore w:val="0"/>
        <w:widowControl w:val="0"/>
        <w:kinsoku/>
        <w:wordWrap/>
        <w:overflowPunct/>
        <w:topLinePunct w:val="0"/>
        <w:autoSpaceDE/>
        <w:autoSpaceDN/>
        <w:bidi w:val="0"/>
        <w:adjustRightInd/>
        <w:snapToGrid/>
        <w:ind w:left="0" w:leftChars="0" w:firstLine="422" w:firstLineChars="200"/>
        <w:textAlignment w:val="auto"/>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第四条 违约责任</w:t>
      </w:r>
    </w:p>
    <w:p w14:paraId="70477F36">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一)发包人工作人员有违反本责任书第一、二条责任行为的，按照管理权限，依据有关法律法规和规定给予党纪、政纪处分或组织处理；涉嫌犯罪的，移交司法机关追究刑事责任；给承包人单位造成经济损失的，应予以赔偿。</w:t>
      </w:r>
    </w:p>
    <w:p w14:paraId="48CA1930">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二)承包人工作人员有违反本责任书第一、三条责任行为的，按照管理权限，依据有关法律法规和规定给予党纪、政纪处分或组织处理；涉嫌犯罪的，移交司法机关追究刑事责任；给发包人单位造成经济损失的，应予以赔偿。</w:t>
      </w:r>
    </w:p>
    <w:p w14:paraId="7E8D575F">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第五条 本责任书作为合同的附件，与合同份数相同，与其具有同等法律效力。</w:t>
      </w:r>
    </w:p>
    <w:p w14:paraId="354E655D">
      <w:pPr>
        <w:keepNext w:val="0"/>
        <w:keepLines w:val="0"/>
        <w:pageBreakBefore w:val="0"/>
        <w:widowControl w:val="0"/>
        <w:kinsoku/>
        <w:wordWrap/>
        <w:overflowPunct/>
        <w:topLinePunct w:val="0"/>
        <w:autoSpaceDE/>
        <w:autoSpaceDN/>
        <w:bidi w:val="0"/>
        <w:adjustRightInd/>
        <w:snapToGrid/>
        <w:ind w:left="0" w:leftChars="0" w:firstLine="422" w:firstLineChars="200"/>
        <w:textAlignment w:val="auto"/>
        <w:rPr>
          <w:rFonts w:hint="eastAsia" w:ascii="宋体" w:hAnsi="宋体" w:eastAsia="宋体" w:cs="Times New Roman"/>
          <w:b/>
          <w:bCs/>
          <w:color w:val="auto"/>
          <w:highlight w:val="none"/>
          <w:lang w:val="en-US" w:eastAsia="zh-CN"/>
        </w:rPr>
      </w:pPr>
    </w:p>
    <w:p w14:paraId="6AC2CC81">
      <w:pPr>
        <w:keepNext w:val="0"/>
        <w:keepLines w:val="0"/>
        <w:pageBreakBefore w:val="0"/>
        <w:widowControl w:val="0"/>
        <w:kinsoku/>
        <w:wordWrap/>
        <w:overflowPunct/>
        <w:topLinePunct w:val="0"/>
        <w:autoSpaceDE/>
        <w:autoSpaceDN/>
        <w:bidi w:val="0"/>
        <w:adjustRightInd/>
        <w:snapToGrid/>
        <w:ind w:left="0" w:leftChars="0" w:firstLine="422" w:firstLineChars="200"/>
        <w:textAlignment w:val="auto"/>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（以下无正文）</w:t>
      </w:r>
    </w:p>
    <w:p w14:paraId="133D0AB6">
      <w:pPr>
        <w:rPr>
          <w:rFonts w:hint="eastAsia" w:ascii="宋体" w:hAnsi="宋体" w:eastAsia="宋体" w:cs="Times New Roman"/>
          <w:b/>
          <w:bCs/>
          <w:color w:val="auto"/>
          <w:highlight w:val="none"/>
          <w:lang w:val="en-US" w:eastAsia="zh-CN"/>
        </w:rPr>
      </w:pPr>
    </w:p>
    <w:p w14:paraId="78722C4E">
      <w:pPr>
        <w:rPr>
          <w:rFonts w:hint="eastAsia" w:ascii="宋体" w:hAnsi="宋体" w:eastAsia="宋体" w:cs="Times New Roman"/>
          <w:b/>
          <w:bCs/>
          <w:color w:val="auto"/>
          <w:highlight w:val="none"/>
          <w:lang w:val="en-US" w:eastAsia="zh-CN"/>
        </w:rPr>
      </w:pPr>
    </w:p>
    <w:p w14:paraId="23971D4C">
      <w:pPr>
        <w:rPr>
          <w:rFonts w:hint="eastAsia" w:ascii="宋体" w:hAnsi="宋体" w:eastAsia="宋体" w:cs="Times New Roman"/>
          <w:b/>
          <w:bCs/>
          <w:color w:val="auto"/>
          <w:highlight w:val="none"/>
          <w:lang w:val="en-US" w:eastAsia="zh-CN"/>
        </w:rPr>
      </w:pPr>
    </w:p>
    <w:p w14:paraId="73E57DFD">
      <w:pPr>
        <w:rPr>
          <w:rFonts w:hint="eastAsia" w:ascii="宋体" w:hAnsi="宋体" w:eastAsia="宋体" w:cs="Times New Roman"/>
          <w:b/>
          <w:bCs/>
          <w:color w:val="auto"/>
          <w:highlight w:val="none"/>
          <w:lang w:val="en-US" w:eastAsia="zh-CN"/>
        </w:rPr>
      </w:pPr>
    </w:p>
    <w:p w14:paraId="771754AD">
      <w:pPr>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（以下为盖章页）</w:t>
      </w:r>
    </w:p>
    <w:p w14:paraId="0A12B51F">
      <w:pPr>
        <w:ind w:left="0" w:leftChars="0" w:firstLine="0" w:firstLineChars="0"/>
        <w:rPr>
          <w:rFonts w:hint="eastAsia" w:ascii="宋体" w:hAnsi="宋体" w:eastAsia="宋体" w:cs="Times New Roman"/>
          <w:color w:val="auto"/>
          <w:highlight w:val="none"/>
          <w:lang w:val="en-US" w:eastAsia="zh-CN"/>
        </w:rPr>
      </w:pPr>
    </w:p>
    <w:p w14:paraId="149F6176">
      <w:pPr>
        <w:ind w:left="0" w:leftChars="0" w:firstLine="0" w:firstLineChars="0"/>
        <w:rPr>
          <w:rFonts w:hint="eastAsia" w:ascii="宋体" w:hAnsi="宋体" w:eastAsia="宋体" w:cs="Times New Roman"/>
          <w:color w:val="auto"/>
          <w:highlight w:val="none"/>
          <w:lang w:val="en-US" w:eastAsia="zh-CN"/>
        </w:rPr>
      </w:pPr>
    </w:p>
    <w:p w14:paraId="3820CE8D">
      <w:pPr>
        <w:ind w:left="0" w:leftChars="0" w:firstLine="0" w:firstLineChars="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发包人：广东顺控水务投资建设有     承包人：</w:t>
      </w:r>
      <w:r>
        <w:rPr>
          <w:rFonts w:hint="eastAsia" w:ascii="宋体" w:hAnsi="宋体" w:eastAsia="宋体" w:cs="Times New Roman"/>
          <w:color w:val="auto"/>
          <w:highlight w:val="none"/>
          <w:u w:val="single"/>
          <w:lang w:val="en-US" w:eastAsia="zh-CN"/>
        </w:rPr>
        <w:t xml:space="preserve">        </w:t>
      </w:r>
      <w:r>
        <w:rPr>
          <w:rFonts w:hint="eastAsia" w:ascii="宋体" w:hAnsi="宋体" w:eastAsia="宋体" w:cs="Times New Roman"/>
          <w:color w:val="auto"/>
          <w:highlight w:val="none"/>
          <w:lang w:val="en-US" w:eastAsia="zh-CN"/>
        </w:rPr>
        <w:t>（公章）</w:t>
      </w:r>
    </w:p>
    <w:p w14:paraId="675CC344">
      <w:pPr>
        <w:ind w:left="0" w:leftChars="0" w:firstLine="0" w:firstLineChars="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限公司（公章）</w:t>
      </w:r>
    </w:p>
    <w:p w14:paraId="158F3992">
      <w:pPr>
        <w:ind w:left="0" w:leftChars="0" w:firstLine="0" w:firstLineChars="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法定代表人或其委托代理人：         法定代表人或其委托代理人：</w:t>
      </w:r>
    </w:p>
    <w:p w14:paraId="219F4F18">
      <w:pPr>
        <w:ind w:firstLine="840" w:firstLineChars="4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（签字）                           （签字）</w:t>
      </w:r>
    </w:p>
    <w:p w14:paraId="3D82C752">
      <w:pPr>
        <w:ind w:left="0" w:leftChars="0" w:firstLine="0" w:firstLineChars="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签订日期：   年   月   日          签订日期：   年   月   日</w:t>
      </w:r>
    </w:p>
    <w:p w14:paraId="048F12F0">
      <w:pPr>
        <w:ind w:left="0" w:leftChars="0" w:firstLine="0" w:firstLineChars="0"/>
        <w:rPr>
          <w:rFonts w:hint="eastAsia" w:ascii="宋体" w:hAnsi="宋体" w:eastAsia="宋体" w:cs="Times New Roman"/>
          <w:color w:val="auto"/>
          <w:highlight w:val="none"/>
          <w:lang w:val="en-US" w:eastAsia="zh-CN"/>
        </w:rPr>
      </w:pPr>
    </w:p>
    <w:p w14:paraId="7E43E89B">
      <w:pPr>
        <w:ind w:left="0" w:leftChars="0" w:firstLine="0" w:firstLineChars="0"/>
        <w:outlineLvl w:val="2"/>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br w:type="page"/>
      </w:r>
      <w:r>
        <w:rPr>
          <w:rFonts w:hint="eastAsia" w:ascii="宋体" w:hAnsi="宋体" w:eastAsia="宋体" w:cs="Times New Roman"/>
          <w:color w:val="auto"/>
          <w:highlight w:val="none"/>
          <w:lang w:val="en-US" w:eastAsia="zh-CN"/>
        </w:rPr>
        <w:t>附件 3：承包人违约情形一览表</w:t>
      </w:r>
    </w:p>
    <w:p w14:paraId="36C07091">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outlineLvl w:val="9"/>
        <w:rPr>
          <w:rFonts w:hint="eastAsia" w:ascii="宋体" w:hAnsi="宋体" w:eastAsia="宋体" w:cs="Times New Roman"/>
          <w:b/>
          <w:bCs/>
          <w:color w:val="auto"/>
          <w:sz w:val="32"/>
          <w:szCs w:val="32"/>
          <w:highlight w:val="none"/>
          <w:lang w:val="en-US" w:eastAsia="zh-CN"/>
        </w:rPr>
      </w:pPr>
      <w:r>
        <w:rPr>
          <w:rFonts w:hint="eastAsia" w:ascii="宋体" w:hAnsi="宋体" w:eastAsia="宋体" w:cs="Times New Roman"/>
          <w:b/>
          <w:bCs/>
          <w:color w:val="auto"/>
          <w:sz w:val="32"/>
          <w:szCs w:val="32"/>
          <w:highlight w:val="none"/>
          <w:lang w:val="en-US" w:eastAsia="zh-CN"/>
        </w:rPr>
        <w:t>承包人违约情形一览表</w:t>
      </w:r>
    </w:p>
    <w:tbl>
      <w:tblPr>
        <w:tblStyle w:val="17"/>
        <w:tblW w:w="9168" w:type="dxa"/>
        <w:tblInd w:w="-7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65"/>
        <w:gridCol w:w="1104"/>
        <w:gridCol w:w="2875"/>
        <w:gridCol w:w="3701"/>
        <w:gridCol w:w="823"/>
      </w:tblGrid>
      <w:tr w14:paraId="7AFCD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48338A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FC024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合同依据</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270009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违约内容</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7F23EA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违约金标准</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83949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备注</w:t>
            </w:r>
          </w:p>
        </w:tc>
      </w:tr>
      <w:tr w14:paraId="6608B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6FCC76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447D1E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7.7</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4E0744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Times New Roman"/>
                <w:color w:val="auto"/>
                <w:highlight w:val="none"/>
                <w:lang w:val="en-US" w:eastAsia="zh-CN"/>
              </w:rPr>
              <w:t>承包人现场监测时未遵守工程安全管理规定及其它工程现场管理制度，导致项目建设期内发生生产安全责任事故的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6111FC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①造成一般事故的，承包人向发包人支付违约金</w:t>
            </w:r>
            <w:r>
              <w:rPr>
                <w:rFonts w:hint="eastAsia" w:ascii="宋体" w:hAnsi="宋体" w:eastAsia="宋体" w:cs="宋体"/>
                <w:i w:val="0"/>
                <w:iCs w:val="0"/>
                <w:color w:val="auto"/>
                <w:sz w:val="21"/>
                <w:szCs w:val="21"/>
                <w:highlight w:val="none"/>
                <w:u w:val="none"/>
                <w:lang w:val="en-US" w:eastAsia="zh-CN"/>
              </w:rPr>
              <w:t>2</w:t>
            </w:r>
            <w:r>
              <w:rPr>
                <w:rFonts w:hint="eastAsia" w:ascii="宋体" w:hAnsi="宋体" w:eastAsia="宋体" w:cs="宋体"/>
                <w:i w:val="0"/>
                <w:iCs w:val="0"/>
                <w:color w:val="auto"/>
                <w:sz w:val="21"/>
                <w:szCs w:val="21"/>
                <w:highlight w:val="none"/>
                <w:u w:val="none"/>
              </w:rPr>
              <w:t>万元/次。</w:t>
            </w:r>
          </w:p>
          <w:p w14:paraId="5BC339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②造成较大事故的，承包人向发包人支付违约金</w:t>
            </w:r>
            <w:r>
              <w:rPr>
                <w:rFonts w:hint="eastAsia" w:ascii="宋体" w:hAnsi="宋体" w:eastAsia="宋体" w:cs="宋体"/>
                <w:i w:val="0"/>
                <w:iCs w:val="0"/>
                <w:color w:val="auto"/>
                <w:sz w:val="21"/>
                <w:szCs w:val="21"/>
                <w:highlight w:val="none"/>
                <w:u w:val="none"/>
                <w:lang w:val="en-US" w:eastAsia="zh-CN"/>
              </w:rPr>
              <w:t>4</w:t>
            </w:r>
            <w:r>
              <w:rPr>
                <w:rFonts w:hint="eastAsia" w:ascii="宋体" w:hAnsi="宋体" w:eastAsia="宋体" w:cs="宋体"/>
                <w:i w:val="0"/>
                <w:iCs w:val="0"/>
                <w:color w:val="auto"/>
                <w:sz w:val="21"/>
                <w:szCs w:val="21"/>
                <w:highlight w:val="none"/>
                <w:u w:val="none"/>
              </w:rPr>
              <w:t>万元/次。发包人有权单方面解除合同</w:t>
            </w:r>
            <w:r>
              <w:rPr>
                <w:rFonts w:hint="eastAsia" w:ascii="宋体" w:hAnsi="宋体" w:eastAsia="宋体" w:cs="宋体"/>
                <w:i w:val="0"/>
                <w:iCs w:val="0"/>
                <w:color w:val="auto"/>
                <w:sz w:val="21"/>
                <w:szCs w:val="21"/>
                <w:highlight w:val="none"/>
                <w:u w:val="none"/>
                <w:lang w:eastAsia="zh-CN"/>
              </w:rPr>
              <w:t>。</w:t>
            </w:r>
          </w:p>
          <w:p w14:paraId="69E583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 xml:space="preserve">③造成重大事故的，承包人向发包人支付违约金 </w:t>
            </w:r>
            <w:r>
              <w:rPr>
                <w:rFonts w:hint="eastAsia" w:ascii="宋体" w:hAnsi="宋体" w:eastAsia="宋体" w:cs="宋体"/>
                <w:i w:val="0"/>
                <w:iCs w:val="0"/>
                <w:color w:val="auto"/>
                <w:sz w:val="21"/>
                <w:szCs w:val="21"/>
                <w:highlight w:val="none"/>
                <w:u w:val="none"/>
                <w:lang w:val="en-US" w:eastAsia="zh-CN"/>
              </w:rPr>
              <w:t>6</w:t>
            </w:r>
            <w:r>
              <w:rPr>
                <w:rFonts w:hint="eastAsia" w:ascii="宋体" w:hAnsi="宋体" w:eastAsia="宋体" w:cs="宋体"/>
                <w:i w:val="0"/>
                <w:iCs w:val="0"/>
                <w:color w:val="auto"/>
                <w:sz w:val="21"/>
                <w:szCs w:val="21"/>
                <w:highlight w:val="none"/>
                <w:u w:val="none"/>
                <w:lang w:eastAsia="zh-CN"/>
              </w:rPr>
              <w:t>万元/次，发包人有权单方面解除合同。</w:t>
            </w:r>
          </w:p>
          <w:p w14:paraId="070F94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eastAsia="zh-CN"/>
              </w:rPr>
              <w:t>④造成特别重大事故的，承包人向发包人支付违约金</w:t>
            </w:r>
            <w:r>
              <w:rPr>
                <w:rFonts w:hint="eastAsia" w:ascii="宋体" w:hAnsi="宋体" w:eastAsia="宋体" w:cs="宋体"/>
                <w:i w:val="0"/>
                <w:iCs w:val="0"/>
                <w:color w:val="auto"/>
                <w:sz w:val="21"/>
                <w:szCs w:val="21"/>
                <w:highlight w:val="none"/>
                <w:u w:val="none"/>
                <w:lang w:val="en-US" w:eastAsia="zh-CN"/>
              </w:rPr>
              <w:t>10</w:t>
            </w:r>
            <w:r>
              <w:rPr>
                <w:rFonts w:hint="eastAsia" w:ascii="宋体" w:hAnsi="宋体" w:eastAsia="宋体" w:cs="宋体"/>
                <w:i w:val="0"/>
                <w:iCs w:val="0"/>
                <w:color w:val="auto"/>
                <w:sz w:val="21"/>
                <w:szCs w:val="21"/>
                <w:highlight w:val="none"/>
                <w:u w:val="none"/>
                <w:lang w:eastAsia="zh-CN"/>
              </w:rPr>
              <w:t>万元/次，发包人有权单方面解除合同。</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C966F1F">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0A5F6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5BFDC9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15344C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9.3</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5B9CCF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承包人未经发包人书面同意擅自更换项目负责人的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0A825A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承包人向发包人支付违约金</w:t>
            </w:r>
            <w:r>
              <w:rPr>
                <w:rFonts w:hint="eastAsia" w:ascii="宋体" w:hAnsi="宋体" w:cs="宋体"/>
                <w:i w:val="0"/>
                <w:iCs w:val="0"/>
                <w:color w:val="auto"/>
                <w:sz w:val="21"/>
                <w:szCs w:val="21"/>
                <w:highlight w:val="none"/>
                <w:u w:val="none"/>
                <w:lang w:val="en-US" w:eastAsia="zh-CN"/>
              </w:rPr>
              <w:t>1</w:t>
            </w:r>
            <w:r>
              <w:rPr>
                <w:rFonts w:hint="eastAsia" w:ascii="宋体" w:hAnsi="宋体" w:cs="宋体"/>
                <w:i w:val="0"/>
                <w:iCs w:val="0"/>
                <w:color w:val="auto"/>
                <w:sz w:val="21"/>
                <w:szCs w:val="21"/>
                <w:highlight w:val="none"/>
                <w:u w:val="none"/>
                <w:lang w:eastAsia="zh-CN"/>
              </w:rPr>
              <w:t>0万元</w:t>
            </w:r>
            <w:r>
              <w:rPr>
                <w:rFonts w:hint="eastAsia" w:ascii="宋体" w:hAnsi="宋体" w:eastAsia="宋体" w:cs="宋体"/>
                <w:i w:val="0"/>
                <w:iCs w:val="0"/>
                <w:color w:val="auto"/>
                <w:sz w:val="21"/>
                <w:szCs w:val="21"/>
                <w:highlight w:val="none"/>
                <w:u w:val="none"/>
              </w:rPr>
              <w:t>/人次</w:t>
            </w:r>
            <w:r>
              <w:rPr>
                <w:rFonts w:hint="eastAsia" w:ascii="宋体" w:hAnsi="宋体" w:eastAsia="宋体" w:cs="宋体"/>
                <w:i w:val="0"/>
                <w:iCs w:val="0"/>
                <w:color w:val="auto"/>
                <w:sz w:val="21"/>
                <w:szCs w:val="21"/>
                <w:highlight w:val="none"/>
                <w:u w:val="none"/>
                <w:lang w:eastAsia="zh-CN"/>
              </w:rPr>
              <w:t>。</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127B3F7">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7801B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1CB06E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EC5F4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9.3</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3792A9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未经发包人书面同意擅自更换其他人员（项目负责人除外）的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645BEA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承包人向发包人支付违约金</w:t>
            </w:r>
            <w:r>
              <w:rPr>
                <w:rFonts w:hint="eastAsia" w:ascii="宋体" w:hAnsi="宋体" w:eastAsia="宋体" w:cs="宋体"/>
                <w:i w:val="0"/>
                <w:iCs w:val="0"/>
                <w:color w:val="auto"/>
                <w:sz w:val="21"/>
                <w:szCs w:val="21"/>
                <w:highlight w:val="none"/>
                <w:u w:val="none"/>
                <w:lang w:val="en-US" w:eastAsia="zh-CN"/>
              </w:rPr>
              <w:t>2</w:t>
            </w:r>
            <w:r>
              <w:rPr>
                <w:rFonts w:hint="eastAsia" w:ascii="宋体" w:hAnsi="宋体" w:eastAsia="宋体" w:cs="宋体"/>
                <w:i w:val="0"/>
                <w:iCs w:val="0"/>
                <w:color w:val="auto"/>
                <w:sz w:val="21"/>
                <w:szCs w:val="21"/>
                <w:highlight w:val="none"/>
                <w:u w:val="none"/>
              </w:rPr>
              <w:t>万元/人次</w:t>
            </w:r>
            <w:r>
              <w:rPr>
                <w:rFonts w:hint="eastAsia" w:ascii="宋体" w:hAnsi="宋体" w:eastAsia="宋体" w:cs="宋体"/>
                <w:i w:val="0"/>
                <w:iCs w:val="0"/>
                <w:color w:val="auto"/>
                <w:sz w:val="21"/>
                <w:szCs w:val="21"/>
                <w:highlight w:val="none"/>
                <w:u w:val="none"/>
                <w:lang w:eastAsia="zh-CN"/>
              </w:rPr>
              <w:t>。</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3D18135E">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413A1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2C7B3F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FAB2E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9.4①</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5388A5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承包人申请更换项目负责人的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34DA96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在发包人同意承包人更换申请后，承包人更换项目负责人前，须向发包人支付</w:t>
            </w:r>
            <w:r>
              <w:rPr>
                <w:rFonts w:hint="eastAsia" w:ascii="宋体" w:hAnsi="宋体" w:cs="宋体"/>
                <w:i w:val="0"/>
                <w:iCs w:val="0"/>
                <w:color w:val="auto"/>
                <w:sz w:val="21"/>
                <w:szCs w:val="21"/>
                <w:highlight w:val="none"/>
                <w:u w:val="none"/>
                <w:lang w:val="en-US" w:eastAsia="zh-CN"/>
              </w:rPr>
              <w:t>3</w:t>
            </w:r>
            <w:r>
              <w:rPr>
                <w:rFonts w:hint="eastAsia" w:ascii="宋体" w:hAnsi="宋体" w:eastAsia="宋体" w:cs="宋体"/>
                <w:i w:val="0"/>
                <w:iCs w:val="0"/>
                <w:color w:val="auto"/>
                <w:sz w:val="21"/>
                <w:szCs w:val="21"/>
                <w:highlight w:val="none"/>
                <w:u w:val="none"/>
              </w:rPr>
              <w:t>万元/人次的违约金</w:t>
            </w:r>
            <w:r>
              <w:rPr>
                <w:rFonts w:hint="eastAsia" w:ascii="宋体" w:hAnsi="宋体" w:eastAsia="宋体" w:cs="宋体"/>
                <w:i w:val="0"/>
                <w:iCs w:val="0"/>
                <w:color w:val="auto"/>
                <w:sz w:val="21"/>
                <w:szCs w:val="21"/>
                <w:highlight w:val="none"/>
                <w:u w:val="none"/>
                <w:lang w:eastAsia="zh-CN"/>
              </w:rPr>
              <w:t>。</w:t>
            </w:r>
            <w:r>
              <w:rPr>
                <w:rFonts w:hint="eastAsia" w:ascii="宋体" w:hAnsi="宋体" w:cs="Times New Roman"/>
                <w:color w:val="auto"/>
                <w:highlight w:val="none"/>
                <w:lang w:val="en-US" w:eastAsia="zh-CN"/>
              </w:rPr>
              <w:t>承包人</w:t>
            </w:r>
            <w:r>
              <w:rPr>
                <w:rFonts w:hint="eastAsia" w:ascii="宋体" w:hAnsi="宋体" w:eastAsia="宋体" w:cs="Times New Roman"/>
                <w:color w:val="auto"/>
                <w:highlight w:val="none"/>
                <w:lang w:val="en-US" w:eastAsia="zh-CN"/>
              </w:rPr>
              <w:t>拒绝按上述约定支付违约金的，视为</w:t>
            </w:r>
            <w:r>
              <w:rPr>
                <w:rFonts w:hint="eastAsia" w:ascii="宋体" w:hAnsi="宋体" w:cs="Times New Roman"/>
                <w:color w:val="auto"/>
                <w:highlight w:val="none"/>
                <w:lang w:val="en-US" w:eastAsia="zh-CN"/>
              </w:rPr>
              <w:t>发包人</w:t>
            </w:r>
            <w:r>
              <w:rPr>
                <w:rFonts w:hint="eastAsia" w:ascii="宋体" w:hAnsi="宋体" w:eastAsia="宋体" w:cs="Times New Roman"/>
                <w:color w:val="auto"/>
                <w:highlight w:val="none"/>
                <w:lang w:val="en-US" w:eastAsia="zh-CN"/>
              </w:rPr>
              <w:t>不同意</w:t>
            </w:r>
            <w:r>
              <w:rPr>
                <w:rFonts w:hint="eastAsia" w:ascii="宋体" w:hAnsi="宋体" w:cs="Times New Roman"/>
                <w:color w:val="auto"/>
                <w:highlight w:val="none"/>
                <w:lang w:val="en-US" w:eastAsia="zh-CN"/>
              </w:rPr>
              <w:t>承包人</w:t>
            </w:r>
            <w:r>
              <w:rPr>
                <w:rFonts w:hint="eastAsia" w:ascii="宋体" w:hAnsi="宋体" w:eastAsia="宋体" w:cs="Times New Roman"/>
                <w:color w:val="auto"/>
                <w:highlight w:val="none"/>
                <w:lang w:val="en-US" w:eastAsia="zh-CN"/>
              </w:rPr>
              <w:t>的更换人员申请，</w:t>
            </w:r>
            <w:r>
              <w:rPr>
                <w:rFonts w:hint="eastAsia" w:ascii="宋体" w:hAnsi="宋体" w:cs="Times New Roman"/>
                <w:color w:val="auto"/>
                <w:highlight w:val="none"/>
                <w:lang w:val="en-US" w:eastAsia="zh-CN"/>
              </w:rPr>
              <w:t>承包人</w:t>
            </w:r>
            <w:r>
              <w:rPr>
                <w:rFonts w:hint="eastAsia" w:ascii="宋体" w:hAnsi="宋体" w:eastAsia="宋体" w:cs="Times New Roman"/>
                <w:color w:val="auto"/>
                <w:highlight w:val="none"/>
                <w:lang w:val="en-US" w:eastAsia="zh-CN"/>
              </w:rPr>
              <w:t>不得变更相关人员，否则，即为</w:t>
            </w:r>
            <w:r>
              <w:rPr>
                <w:rFonts w:hint="eastAsia" w:ascii="宋体" w:hAnsi="宋体" w:cs="Times New Roman"/>
                <w:color w:val="auto"/>
                <w:highlight w:val="none"/>
                <w:lang w:val="en-US" w:eastAsia="zh-CN"/>
              </w:rPr>
              <w:t>承包人</w:t>
            </w:r>
            <w:r>
              <w:rPr>
                <w:rFonts w:hint="eastAsia" w:ascii="宋体" w:hAnsi="宋体" w:eastAsia="宋体" w:cs="Times New Roman"/>
                <w:color w:val="auto"/>
                <w:highlight w:val="none"/>
                <w:lang w:val="en-US" w:eastAsia="zh-CN"/>
              </w:rPr>
              <w:t>擅自更换相关人员，</w:t>
            </w:r>
            <w:r>
              <w:rPr>
                <w:rFonts w:hint="eastAsia" w:ascii="宋体" w:hAnsi="宋体" w:cs="Times New Roman"/>
                <w:color w:val="auto"/>
                <w:highlight w:val="none"/>
                <w:lang w:val="en-US" w:eastAsia="zh-CN"/>
              </w:rPr>
              <w:t>发包人</w:t>
            </w:r>
            <w:r>
              <w:rPr>
                <w:rFonts w:hint="eastAsia" w:ascii="宋体" w:hAnsi="宋体" w:eastAsia="宋体" w:cs="Times New Roman"/>
                <w:color w:val="auto"/>
                <w:highlight w:val="none"/>
                <w:lang w:val="en-US" w:eastAsia="zh-CN"/>
              </w:rPr>
              <w:t>将按本合同“第九条 违约责任”的第9.3条执行</w:t>
            </w:r>
            <w:r>
              <w:rPr>
                <w:rFonts w:hint="eastAsia" w:ascii="宋体" w:hAnsi="宋体" w:cs="Times New Roman"/>
                <w:color w:val="auto"/>
                <w:highlight w:val="none"/>
                <w:lang w:val="en-US" w:eastAsia="zh-CN"/>
              </w:rPr>
              <w:t>。</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4ADCC219">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3BDE2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1B05ED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6888E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cs="宋体"/>
                <w:i w:val="0"/>
                <w:iCs w:val="0"/>
                <w:color w:val="auto"/>
                <w:kern w:val="0"/>
                <w:sz w:val="21"/>
                <w:szCs w:val="21"/>
                <w:highlight w:val="none"/>
                <w:u w:val="none"/>
                <w:lang w:val="en-US" w:eastAsia="zh-CN" w:bidi="ar"/>
              </w:rPr>
              <w:t>9.4②</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0EFAA5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承包人申请更换项目负责人以外的其他</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人员的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30BCB6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在发包人同意承包人更换申请后，承包人更换其他</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人员前，须向发包人支付</w:t>
            </w:r>
            <w:r>
              <w:rPr>
                <w:rFonts w:hint="eastAsia" w:ascii="宋体" w:hAnsi="宋体" w:cs="宋体"/>
                <w:i w:val="0"/>
                <w:iCs w:val="0"/>
                <w:color w:val="auto"/>
                <w:sz w:val="21"/>
                <w:szCs w:val="21"/>
                <w:highlight w:val="none"/>
                <w:u w:val="none"/>
                <w:lang w:val="en-US" w:eastAsia="zh-CN"/>
              </w:rPr>
              <w:t>0.5万元</w:t>
            </w:r>
            <w:r>
              <w:rPr>
                <w:rFonts w:hint="eastAsia" w:ascii="宋体" w:hAnsi="宋体" w:eastAsia="宋体" w:cs="宋体"/>
                <w:i w:val="0"/>
                <w:iCs w:val="0"/>
                <w:color w:val="auto"/>
                <w:sz w:val="21"/>
                <w:szCs w:val="21"/>
                <w:highlight w:val="none"/>
                <w:u w:val="none"/>
              </w:rPr>
              <w:t>/人次的违约金</w:t>
            </w:r>
            <w:r>
              <w:rPr>
                <w:rFonts w:hint="eastAsia" w:ascii="宋体" w:hAnsi="宋体" w:eastAsia="宋体" w:cs="宋体"/>
                <w:i w:val="0"/>
                <w:iCs w:val="0"/>
                <w:color w:val="auto"/>
                <w:sz w:val="21"/>
                <w:szCs w:val="21"/>
                <w:highlight w:val="none"/>
                <w:u w:val="none"/>
                <w:lang w:eastAsia="zh-CN"/>
              </w:rPr>
              <w:t>。</w:t>
            </w:r>
            <w:r>
              <w:rPr>
                <w:rFonts w:hint="eastAsia" w:ascii="宋体" w:hAnsi="宋体" w:cs="Times New Roman"/>
                <w:color w:val="auto"/>
                <w:highlight w:val="none"/>
                <w:lang w:val="en-US" w:eastAsia="zh-CN"/>
              </w:rPr>
              <w:t>承包人</w:t>
            </w:r>
            <w:r>
              <w:rPr>
                <w:rFonts w:hint="eastAsia" w:ascii="宋体" w:hAnsi="宋体" w:eastAsia="宋体" w:cs="Times New Roman"/>
                <w:color w:val="auto"/>
                <w:highlight w:val="none"/>
                <w:lang w:val="en-US" w:eastAsia="zh-CN"/>
              </w:rPr>
              <w:t>拒绝按上述约定支付违约金的，视为</w:t>
            </w:r>
            <w:r>
              <w:rPr>
                <w:rFonts w:hint="eastAsia" w:ascii="宋体" w:hAnsi="宋体" w:cs="Times New Roman"/>
                <w:color w:val="auto"/>
                <w:highlight w:val="none"/>
                <w:lang w:val="en-US" w:eastAsia="zh-CN"/>
              </w:rPr>
              <w:t>发包人</w:t>
            </w:r>
            <w:r>
              <w:rPr>
                <w:rFonts w:hint="eastAsia" w:ascii="宋体" w:hAnsi="宋体" w:eastAsia="宋体" w:cs="Times New Roman"/>
                <w:color w:val="auto"/>
                <w:highlight w:val="none"/>
                <w:lang w:val="en-US" w:eastAsia="zh-CN"/>
              </w:rPr>
              <w:t>不同意</w:t>
            </w:r>
            <w:r>
              <w:rPr>
                <w:rFonts w:hint="eastAsia" w:ascii="宋体" w:hAnsi="宋体" w:cs="Times New Roman"/>
                <w:color w:val="auto"/>
                <w:highlight w:val="none"/>
                <w:lang w:val="en-US" w:eastAsia="zh-CN"/>
              </w:rPr>
              <w:t>承包人</w:t>
            </w:r>
            <w:r>
              <w:rPr>
                <w:rFonts w:hint="eastAsia" w:ascii="宋体" w:hAnsi="宋体" w:eastAsia="宋体" w:cs="Times New Roman"/>
                <w:color w:val="auto"/>
                <w:highlight w:val="none"/>
                <w:lang w:val="en-US" w:eastAsia="zh-CN"/>
              </w:rPr>
              <w:t>的更换人员申请，</w:t>
            </w:r>
            <w:r>
              <w:rPr>
                <w:rFonts w:hint="eastAsia" w:ascii="宋体" w:hAnsi="宋体" w:cs="Times New Roman"/>
                <w:color w:val="auto"/>
                <w:highlight w:val="none"/>
                <w:lang w:val="en-US" w:eastAsia="zh-CN"/>
              </w:rPr>
              <w:t>承包人</w:t>
            </w:r>
            <w:r>
              <w:rPr>
                <w:rFonts w:hint="eastAsia" w:ascii="宋体" w:hAnsi="宋体" w:eastAsia="宋体" w:cs="Times New Roman"/>
                <w:color w:val="auto"/>
                <w:highlight w:val="none"/>
                <w:lang w:val="en-US" w:eastAsia="zh-CN"/>
              </w:rPr>
              <w:t>不得变更相关人员，否则，即为</w:t>
            </w:r>
            <w:r>
              <w:rPr>
                <w:rFonts w:hint="eastAsia" w:ascii="宋体" w:hAnsi="宋体" w:cs="Times New Roman"/>
                <w:color w:val="auto"/>
                <w:highlight w:val="none"/>
                <w:lang w:val="en-US" w:eastAsia="zh-CN"/>
              </w:rPr>
              <w:t>承包人</w:t>
            </w:r>
            <w:r>
              <w:rPr>
                <w:rFonts w:hint="eastAsia" w:ascii="宋体" w:hAnsi="宋体" w:eastAsia="宋体" w:cs="Times New Roman"/>
                <w:color w:val="auto"/>
                <w:highlight w:val="none"/>
                <w:lang w:val="en-US" w:eastAsia="zh-CN"/>
              </w:rPr>
              <w:t>擅自更换相关人员，</w:t>
            </w:r>
            <w:r>
              <w:rPr>
                <w:rFonts w:hint="eastAsia" w:ascii="宋体" w:hAnsi="宋体" w:cs="Times New Roman"/>
                <w:color w:val="auto"/>
                <w:highlight w:val="none"/>
                <w:lang w:val="en-US" w:eastAsia="zh-CN"/>
              </w:rPr>
              <w:t>发包人</w:t>
            </w:r>
            <w:r>
              <w:rPr>
                <w:rFonts w:hint="eastAsia" w:ascii="宋体" w:hAnsi="宋体" w:eastAsia="宋体" w:cs="Times New Roman"/>
                <w:color w:val="auto"/>
                <w:highlight w:val="none"/>
                <w:lang w:val="en-US" w:eastAsia="zh-CN"/>
              </w:rPr>
              <w:t>将按本合同“第九条 违约责任”的第9.3条执行</w:t>
            </w:r>
            <w:r>
              <w:rPr>
                <w:rFonts w:hint="eastAsia" w:ascii="宋体" w:hAnsi="宋体" w:cs="Times New Roman"/>
                <w:color w:val="auto"/>
                <w:highlight w:val="none"/>
                <w:lang w:val="en-US" w:eastAsia="zh-CN"/>
              </w:rPr>
              <w:t>。</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4D2A038A">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4CBD6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3E7DB9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3F21D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cs="宋体"/>
                <w:i w:val="0"/>
                <w:iCs w:val="0"/>
                <w:color w:val="auto"/>
                <w:kern w:val="0"/>
                <w:sz w:val="21"/>
                <w:szCs w:val="21"/>
                <w:highlight w:val="none"/>
                <w:u w:val="none"/>
                <w:lang w:val="en-US" w:eastAsia="zh-CN" w:bidi="ar"/>
              </w:rPr>
              <w:t>9.5</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21EDEE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承包人派驻的</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人员不配合发包人工作或不能胜任工作的或因工程实际需要须增加相关</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人员的，发包人有权要求承包人更换或增加相关</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人员，承包人应在3日内更换或增加相关</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人员，且不得向发包人提出增加费用或要求补偿或索赔等，承包人的合同价应已充分考虑该因素，并在相关合同单价中进行综合考虑。承包人逾期更换或增加的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494F75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每逾期一日应向发包人支付</w:t>
            </w:r>
            <w:r>
              <w:rPr>
                <w:rFonts w:hint="eastAsia" w:ascii="宋体" w:hAnsi="宋体" w:cs="宋体"/>
                <w:i w:val="0"/>
                <w:iCs w:val="0"/>
                <w:color w:val="auto"/>
                <w:sz w:val="21"/>
                <w:szCs w:val="21"/>
                <w:highlight w:val="none"/>
                <w:u w:val="none"/>
                <w:lang w:val="en-US" w:eastAsia="zh-CN"/>
              </w:rPr>
              <w:t>0.5万元</w:t>
            </w:r>
            <w:r>
              <w:rPr>
                <w:rFonts w:hint="eastAsia" w:ascii="宋体" w:hAnsi="宋体" w:eastAsia="宋体" w:cs="宋体"/>
                <w:i w:val="0"/>
                <w:iCs w:val="0"/>
                <w:color w:val="auto"/>
                <w:sz w:val="21"/>
                <w:szCs w:val="21"/>
                <w:highlight w:val="none"/>
                <w:u w:val="none"/>
              </w:rPr>
              <w:t>的违约金，承包人拒绝按上述要求更换或增加相关</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人员或逾期超过7日的，视为承包人违约，承包人向发包人支付</w:t>
            </w:r>
            <w:r>
              <w:rPr>
                <w:rFonts w:hint="eastAsia" w:ascii="宋体" w:hAnsi="宋体" w:eastAsia="宋体" w:cs="宋体"/>
                <w:i w:val="0"/>
                <w:iCs w:val="0"/>
                <w:color w:val="auto"/>
                <w:sz w:val="21"/>
                <w:szCs w:val="21"/>
                <w:highlight w:val="none"/>
                <w:u w:val="none"/>
                <w:lang w:val="en-US" w:eastAsia="zh-CN"/>
              </w:rPr>
              <w:t>10</w:t>
            </w:r>
            <w:r>
              <w:rPr>
                <w:rFonts w:hint="eastAsia" w:ascii="宋体" w:hAnsi="宋体" w:eastAsia="宋体" w:cs="宋体"/>
                <w:i w:val="0"/>
                <w:iCs w:val="0"/>
                <w:color w:val="auto"/>
                <w:sz w:val="21"/>
                <w:szCs w:val="21"/>
                <w:highlight w:val="none"/>
                <w:u w:val="none"/>
              </w:rPr>
              <w:t>万元/次的违约金，且发包人有权终止或解除本合同，由此造成的</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期限延误的违约责任及发包人损失由承包人承担</w:t>
            </w:r>
            <w:r>
              <w:rPr>
                <w:rFonts w:hint="eastAsia" w:ascii="宋体" w:hAnsi="宋体" w:eastAsia="宋体" w:cs="宋体"/>
                <w:i w:val="0"/>
                <w:iCs w:val="0"/>
                <w:color w:val="auto"/>
                <w:sz w:val="21"/>
                <w:szCs w:val="21"/>
                <w:highlight w:val="none"/>
                <w:u w:val="none"/>
                <w:lang w:eastAsia="zh-CN"/>
              </w:rPr>
              <w:t>。</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314E63E2">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2E3FD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13DC4C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7</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1E34A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9.6</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64A12A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承包人因原因导致未按照本合同约定时间内向发包人提交</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报告</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7B8C2C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val="en-US" w:eastAsia="zh-CN"/>
              </w:rPr>
              <w:t>自超过合同约定提交监测报告之日起，每逾期一天，承包人应向发包人支付逾期违约金0.2万元/天/份，逾期超过15天（含15天）时，承包人向发包人支付签约合同总价20%的违约金且发包人有权终止或解除本合同，若违约金不足以弥补发包人损失的，发包人有权要求承包人对超出部分继续赔偿。</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56E100A">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12DAF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0BCEA8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8</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FA338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9.7</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1126C6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承包人违反适用于本项目的法律、法规和工程建设强制性标准的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353D94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承包人应向发包人支付</w:t>
            </w:r>
            <w:r>
              <w:rPr>
                <w:rFonts w:hint="eastAsia" w:ascii="宋体" w:hAnsi="宋体" w:eastAsia="宋体" w:cs="宋体"/>
                <w:i w:val="0"/>
                <w:iCs w:val="0"/>
                <w:color w:val="auto"/>
                <w:sz w:val="21"/>
                <w:szCs w:val="21"/>
                <w:highlight w:val="none"/>
                <w:u w:val="none"/>
                <w:lang w:val="en-US" w:eastAsia="zh-CN"/>
              </w:rPr>
              <w:t>1</w:t>
            </w:r>
            <w:r>
              <w:rPr>
                <w:rFonts w:hint="eastAsia" w:ascii="宋体" w:hAnsi="宋体" w:eastAsia="宋体" w:cs="宋体"/>
                <w:i w:val="0"/>
                <w:iCs w:val="0"/>
                <w:color w:val="auto"/>
                <w:sz w:val="21"/>
                <w:szCs w:val="21"/>
                <w:highlight w:val="none"/>
                <w:u w:val="none"/>
              </w:rPr>
              <w:t>万元/次的违约金，若违约金不足以弥补发包人损失的，发包人有权要求承包人对超出部分继续赔偿</w:t>
            </w:r>
            <w:r>
              <w:rPr>
                <w:rFonts w:hint="eastAsia" w:ascii="宋体" w:hAnsi="宋体" w:eastAsia="宋体" w:cs="宋体"/>
                <w:i w:val="0"/>
                <w:iCs w:val="0"/>
                <w:color w:val="auto"/>
                <w:sz w:val="21"/>
                <w:szCs w:val="21"/>
                <w:highlight w:val="none"/>
                <w:u w:val="none"/>
                <w:lang w:eastAsia="zh-CN"/>
              </w:rPr>
              <w:t>。若承包人违反适用于本项目的法律、法规和工程建设强制性标准达到5次，承包人向发包人支付签约合同总价20%的违约金且发包人有权终止或解除本合同，若违约金不足以弥补发包人损失的，发包人有权要求承包人对超出部分继续赔偿。</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3A9724C4">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716B2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343C03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CA642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9.8</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43222C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由于</w:t>
            </w:r>
            <w:r>
              <w:rPr>
                <w:rFonts w:hint="eastAsia" w:ascii="宋体" w:hAnsi="宋体" w:cs="Times New Roman"/>
                <w:color w:val="auto"/>
                <w:highlight w:val="none"/>
                <w:lang w:val="en-US" w:eastAsia="zh-CN"/>
              </w:rPr>
              <w:t>承包人</w:t>
            </w:r>
            <w:r>
              <w:rPr>
                <w:rFonts w:hint="eastAsia" w:ascii="宋体" w:hAnsi="宋体" w:eastAsia="宋体" w:cs="Times New Roman"/>
                <w:color w:val="auto"/>
                <w:highlight w:val="none"/>
                <w:lang w:val="en-US" w:eastAsia="zh-CN"/>
              </w:rPr>
              <w:t>提供的监测</w:t>
            </w:r>
            <w:r>
              <w:rPr>
                <w:rFonts w:hint="eastAsia" w:ascii="宋体" w:hAnsi="宋体" w:cs="Times New Roman"/>
                <w:color w:val="auto"/>
                <w:highlight w:val="none"/>
                <w:lang w:val="en-US" w:eastAsia="zh-CN"/>
              </w:rPr>
              <w:t>信息错误或</w:t>
            </w:r>
            <w:r>
              <w:rPr>
                <w:rFonts w:hint="eastAsia" w:ascii="宋体" w:hAnsi="宋体" w:eastAsia="宋体" w:cs="Times New Roman"/>
                <w:color w:val="auto"/>
                <w:highlight w:val="none"/>
                <w:lang w:val="en-US" w:eastAsia="zh-CN"/>
              </w:rPr>
              <w:t>成果质量不合格</w:t>
            </w:r>
            <w:r>
              <w:rPr>
                <w:rFonts w:hint="eastAsia" w:ascii="宋体" w:hAnsi="宋体" w:cs="Times New Roman"/>
                <w:color w:val="auto"/>
                <w:highlight w:val="none"/>
                <w:lang w:val="en-US" w:eastAsia="zh-CN"/>
              </w:rPr>
              <w:t>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7B2EFE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承包人应向发包人支付</w:t>
            </w:r>
            <w:r>
              <w:rPr>
                <w:rFonts w:hint="eastAsia" w:ascii="宋体" w:hAnsi="宋体" w:cs="宋体"/>
                <w:i w:val="0"/>
                <w:iCs w:val="0"/>
                <w:color w:val="auto"/>
                <w:sz w:val="21"/>
                <w:szCs w:val="21"/>
                <w:highlight w:val="none"/>
                <w:u w:val="none"/>
                <w:lang w:val="en-US" w:eastAsia="zh-CN"/>
              </w:rPr>
              <w:t>1</w:t>
            </w:r>
            <w:r>
              <w:rPr>
                <w:rFonts w:hint="eastAsia" w:ascii="宋体" w:hAnsi="宋体" w:eastAsia="宋体" w:cs="宋体"/>
                <w:i w:val="0"/>
                <w:iCs w:val="0"/>
                <w:color w:val="auto"/>
                <w:sz w:val="21"/>
                <w:szCs w:val="21"/>
                <w:highlight w:val="none"/>
                <w:u w:val="none"/>
              </w:rPr>
              <w:t>万元/</w:t>
            </w:r>
            <w:r>
              <w:rPr>
                <w:rFonts w:hint="eastAsia" w:ascii="宋体" w:hAnsi="宋体" w:eastAsia="宋体" w:cs="宋体"/>
                <w:i w:val="0"/>
                <w:iCs w:val="0"/>
                <w:color w:val="auto"/>
                <w:sz w:val="21"/>
                <w:szCs w:val="21"/>
                <w:highlight w:val="none"/>
                <w:u w:val="none"/>
                <w:lang w:val="en-US" w:eastAsia="zh-CN"/>
              </w:rPr>
              <w:t>份</w:t>
            </w:r>
            <w:r>
              <w:rPr>
                <w:rFonts w:hint="eastAsia" w:ascii="宋体" w:hAnsi="宋体" w:eastAsia="宋体" w:cs="宋体"/>
                <w:i w:val="0"/>
                <w:iCs w:val="0"/>
                <w:color w:val="auto"/>
                <w:sz w:val="21"/>
                <w:szCs w:val="21"/>
                <w:highlight w:val="none"/>
                <w:u w:val="none"/>
              </w:rPr>
              <w:t>的违约金，给发包人造成损失的应予以赔偿，且承包人应负责无偿更正或补充完善使其达到质量合格；若承包人未在15日内或者无力履行或者拒绝履行补充完善义务，发包人有权自行另行委托其他单位，因此而发生的全部</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费用</w:t>
            </w:r>
            <w:r>
              <w:rPr>
                <w:rFonts w:hint="eastAsia" w:ascii="宋体" w:hAnsi="宋体" w:cs="宋体"/>
                <w:i w:val="0"/>
                <w:iCs w:val="0"/>
                <w:color w:val="auto"/>
                <w:sz w:val="21"/>
                <w:szCs w:val="21"/>
                <w:highlight w:val="none"/>
                <w:u w:val="none"/>
                <w:lang w:val="en-US" w:eastAsia="zh-CN"/>
              </w:rPr>
              <w:t>及其他费用</w:t>
            </w:r>
            <w:r>
              <w:rPr>
                <w:rFonts w:hint="eastAsia" w:ascii="宋体" w:hAnsi="宋体" w:eastAsia="宋体" w:cs="宋体"/>
                <w:i w:val="0"/>
                <w:iCs w:val="0"/>
                <w:color w:val="auto"/>
                <w:sz w:val="21"/>
                <w:szCs w:val="21"/>
                <w:highlight w:val="none"/>
                <w:u w:val="none"/>
              </w:rPr>
              <w:t>均由承包人承担</w:t>
            </w:r>
            <w:r>
              <w:rPr>
                <w:rFonts w:hint="eastAsia" w:ascii="宋体" w:hAnsi="宋体" w:eastAsia="宋体" w:cs="宋体"/>
                <w:i w:val="0"/>
                <w:iCs w:val="0"/>
                <w:color w:val="auto"/>
                <w:sz w:val="21"/>
                <w:szCs w:val="21"/>
                <w:highlight w:val="none"/>
                <w:u w:val="none"/>
                <w:lang w:eastAsia="zh-CN"/>
              </w:rPr>
              <w:t>。若承包人</w:t>
            </w:r>
            <w:r>
              <w:rPr>
                <w:rFonts w:hint="eastAsia" w:ascii="宋体" w:hAnsi="宋体" w:eastAsia="宋体" w:cs="Times New Roman"/>
                <w:color w:val="auto"/>
                <w:highlight w:val="none"/>
                <w:lang w:val="en-US" w:eastAsia="zh-CN"/>
              </w:rPr>
              <w:t>提供的监测</w:t>
            </w:r>
            <w:r>
              <w:rPr>
                <w:rFonts w:hint="eastAsia" w:ascii="宋体" w:hAnsi="宋体" w:cs="Times New Roman"/>
                <w:color w:val="auto"/>
                <w:highlight w:val="none"/>
                <w:lang w:val="en-US" w:eastAsia="zh-CN"/>
              </w:rPr>
              <w:t>信息错误或</w:t>
            </w:r>
            <w:r>
              <w:rPr>
                <w:rFonts w:hint="eastAsia" w:ascii="宋体" w:hAnsi="宋体" w:eastAsia="宋体" w:cs="Times New Roman"/>
                <w:color w:val="auto"/>
                <w:highlight w:val="none"/>
                <w:lang w:val="en-US" w:eastAsia="zh-CN"/>
              </w:rPr>
              <w:t>成果质量不合格</w:t>
            </w:r>
            <w:r>
              <w:rPr>
                <w:rFonts w:hint="eastAsia" w:ascii="宋体" w:hAnsi="宋体" w:eastAsia="宋体" w:cs="宋体"/>
                <w:i w:val="0"/>
                <w:iCs w:val="0"/>
                <w:color w:val="auto"/>
                <w:sz w:val="21"/>
                <w:szCs w:val="21"/>
                <w:highlight w:val="none"/>
                <w:u w:val="none"/>
                <w:lang w:eastAsia="zh-CN"/>
              </w:rPr>
              <w:t>达到5次，承包人向发包人支付签约合同总价20%的违约金且发包人有权终止或解除本合同，若违约金不足以弥补发包人损失的，发包人有权要求承包人对超出部分继续赔偿。</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308B525">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28328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646C2F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10</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F90EA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9.10</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60F037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未经发包人同意，承包人擅自将</w:t>
            </w:r>
            <w:r>
              <w:rPr>
                <w:rFonts w:hint="eastAsia" w:ascii="宋体" w:hAnsi="宋体" w:eastAsia="宋体" w:cs="宋体"/>
                <w:i w:val="0"/>
                <w:iCs w:val="0"/>
                <w:color w:val="auto"/>
                <w:sz w:val="21"/>
                <w:szCs w:val="21"/>
                <w:highlight w:val="none"/>
                <w:u w:val="none"/>
                <w:lang w:val="en-US" w:eastAsia="zh-CN"/>
              </w:rPr>
              <w:t>监测</w:t>
            </w:r>
            <w:r>
              <w:rPr>
                <w:rFonts w:hint="eastAsia" w:ascii="宋体" w:hAnsi="宋体" w:eastAsia="宋体" w:cs="宋体"/>
                <w:i w:val="0"/>
                <w:iCs w:val="0"/>
                <w:color w:val="auto"/>
                <w:sz w:val="21"/>
                <w:szCs w:val="21"/>
                <w:highlight w:val="none"/>
                <w:u w:val="none"/>
              </w:rPr>
              <w:t>结果向第三方泄露、转让的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65FB86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发包人有权追究其法律责任，且承包人应向发包人支付10万元/次的违约金，不足弥补发包人损失的，发包人有权要求承包人对超出部分继续赔偿</w:t>
            </w:r>
            <w:r>
              <w:rPr>
                <w:rFonts w:hint="eastAsia" w:ascii="宋体" w:hAnsi="宋体" w:eastAsia="宋体" w:cs="宋体"/>
                <w:i w:val="0"/>
                <w:iCs w:val="0"/>
                <w:color w:val="auto"/>
                <w:sz w:val="21"/>
                <w:szCs w:val="21"/>
                <w:highlight w:val="none"/>
                <w:u w:val="none"/>
                <w:lang w:eastAsia="zh-CN"/>
              </w:rPr>
              <w:t>。</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378B640">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2B01B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265C1B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11</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2A1BC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9.11</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067D77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本项目不得</w:t>
            </w:r>
            <w:r>
              <w:rPr>
                <w:rFonts w:hint="eastAsia" w:ascii="宋体" w:hAnsi="宋体" w:eastAsia="宋体" w:cs="宋体"/>
                <w:i w:val="0"/>
                <w:iCs w:val="0"/>
                <w:color w:val="auto"/>
                <w:sz w:val="21"/>
                <w:szCs w:val="21"/>
                <w:highlight w:val="none"/>
                <w:u w:val="none"/>
                <w:lang w:val="en-US" w:eastAsia="zh-CN"/>
              </w:rPr>
              <w:t>分包、</w:t>
            </w:r>
            <w:r>
              <w:rPr>
                <w:rFonts w:hint="eastAsia" w:ascii="宋体" w:hAnsi="宋体" w:eastAsia="宋体" w:cs="宋体"/>
                <w:i w:val="0"/>
                <w:iCs w:val="0"/>
                <w:color w:val="auto"/>
                <w:sz w:val="21"/>
                <w:szCs w:val="21"/>
                <w:highlight w:val="none"/>
                <w:u w:val="none"/>
              </w:rPr>
              <w:t>转包，承包人将任务</w:t>
            </w:r>
            <w:r>
              <w:rPr>
                <w:rFonts w:hint="eastAsia" w:ascii="宋体" w:hAnsi="宋体" w:eastAsia="宋体" w:cs="宋体"/>
                <w:i w:val="0"/>
                <w:iCs w:val="0"/>
                <w:color w:val="auto"/>
                <w:sz w:val="21"/>
                <w:szCs w:val="21"/>
                <w:highlight w:val="none"/>
                <w:u w:val="none"/>
                <w:lang w:val="en-US" w:eastAsia="zh-CN"/>
              </w:rPr>
              <w:t>分包、</w:t>
            </w:r>
            <w:r>
              <w:rPr>
                <w:rFonts w:hint="eastAsia" w:ascii="宋体" w:hAnsi="宋体" w:eastAsia="宋体" w:cs="宋体"/>
                <w:i w:val="0"/>
                <w:iCs w:val="0"/>
                <w:color w:val="auto"/>
                <w:sz w:val="21"/>
                <w:szCs w:val="21"/>
                <w:highlight w:val="none"/>
                <w:u w:val="none"/>
              </w:rPr>
              <w:t>转包的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749CCD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发包人有权终止本合同，并计扣承包人签约合同总价20%的违约金，承包人还应当赔偿发包人因此遭受的损失</w:t>
            </w:r>
            <w:r>
              <w:rPr>
                <w:rFonts w:hint="eastAsia" w:ascii="宋体" w:hAnsi="宋体" w:eastAsia="宋体" w:cs="宋体"/>
                <w:i w:val="0"/>
                <w:iCs w:val="0"/>
                <w:color w:val="auto"/>
                <w:sz w:val="21"/>
                <w:szCs w:val="21"/>
                <w:highlight w:val="none"/>
                <w:u w:val="none"/>
                <w:lang w:eastAsia="zh-CN"/>
              </w:rPr>
              <w:t>。</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24D61A1">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71781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79F102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34733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9.12</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347BEF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Times New Roman"/>
                <w:color w:val="auto"/>
                <w:highlight w:val="none"/>
                <w:lang w:val="en-US" w:eastAsia="zh-CN"/>
              </w:rPr>
              <w:t>承包人不得将所承接的工作内容以劳务支持或劳务分包的名义委托不具备劳务承包资质的第三方监测机构或单位实施</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01CAE4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Times New Roman"/>
                <w:color w:val="auto"/>
                <w:highlight w:val="none"/>
                <w:lang w:val="en-US" w:eastAsia="zh-CN"/>
              </w:rPr>
              <w:t>一经发现，承包人应向发包人支付合同总价20%的违约金且发包人有权即时解除合同，若违约金不足以弥补发包人损失的，发包人有权要求承包人对超出部分继续赔偿。</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A52FF5A">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2938B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05B46E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13</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2E22C6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9.13</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146DC9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Times New Roman"/>
                <w:color w:val="auto"/>
                <w:highlight w:val="none"/>
                <w:lang w:val="en-US" w:eastAsia="zh-CN"/>
              </w:rPr>
              <w:t>因承包人原因导致发生监测纠纷的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349190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Times New Roman"/>
                <w:color w:val="auto"/>
                <w:highlight w:val="none"/>
                <w:lang w:val="en-US" w:eastAsia="zh-CN"/>
              </w:rPr>
              <w:t>所造成的损失由承包人承担且承包人向发包人支付5万元/次的违约金。</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19C04CF">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2BED2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665" w:type="dxa"/>
            <w:tcBorders>
              <w:top w:val="single" w:color="000000" w:sz="4" w:space="0"/>
              <w:left w:val="single" w:color="000000" w:sz="4" w:space="0"/>
              <w:bottom w:val="single" w:color="000000" w:sz="4" w:space="0"/>
              <w:right w:val="single" w:color="000000" w:sz="4" w:space="0"/>
            </w:tcBorders>
            <w:noWrap w:val="0"/>
            <w:vAlign w:val="center"/>
          </w:tcPr>
          <w:p w14:paraId="441A50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14</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7A251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9.14</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5621B0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发包人对监测结果真实性存疑，经第三方检测发现存在弄虚作假行为的</w:t>
            </w:r>
          </w:p>
        </w:tc>
        <w:tc>
          <w:tcPr>
            <w:tcW w:w="3701" w:type="dxa"/>
            <w:tcBorders>
              <w:top w:val="single" w:color="000000" w:sz="4" w:space="0"/>
              <w:left w:val="single" w:color="000000" w:sz="4" w:space="0"/>
              <w:bottom w:val="single" w:color="000000" w:sz="4" w:space="0"/>
              <w:right w:val="single" w:color="000000" w:sz="4" w:space="0"/>
            </w:tcBorders>
            <w:noWrap w:val="0"/>
            <w:vAlign w:val="center"/>
          </w:tcPr>
          <w:p w14:paraId="67752E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宋体" w:hAnsi="宋体" w:eastAsia="宋体" w:cs="宋体"/>
                <w:i w:val="0"/>
                <w:iCs w:val="0"/>
                <w:color w:val="auto"/>
                <w:sz w:val="21"/>
                <w:szCs w:val="21"/>
                <w:highlight w:val="none"/>
                <w:u w:val="none"/>
                <w:lang w:val="en-US"/>
              </w:rPr>
            </w:pPr>
            <w:r>
              <w:rPr>
                <w:rFonts w:hint="eastAsia" w:ascii="宋体" w:hAnsi="宋体" w:cs="Times New Roman"/>
                <w:color w:val="auto"/>
                <w:highlight w:val="none"/>
                <w:lang w:val="en-US" w:eastAsia="zh-CN"/>
              </w:rPr>
              <w:t>承包人应向发包人支付合同总价20%的违约金且发包人有权即时解除合同，若违约金不足以弥补发包人损失的，发包人有权要求承包人对超出部分继续赔偿.</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4DD27F44">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p>
        </w:tc>
      </w:tr>
      <w:tr w14:paraId="349B8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168" w:type="dxa"/>
            <w:gridSpan w:val="5"/>
            <w:tcBorders>
              <w:top w:val="single" w:color="000000" w:sz="4" w:space="0"/>
              <w:left w:val="single" w:color="000000" w:sz="4" w:space="0"/>
              <w:bottom w:val="single" w:color="000000" w:sz="4" w:space="0"/>
              <w:right w:val="single" w:color="000000" w:sz="4" w:space="0"/>
            </w:tcBorders>
            <w:noWrap w:val="0"/>
            <w:vAlign w:val="center"/>
          </w:tcPr>
          <w:p w14:paraId="64906F37">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auto"/>
                <w:sz w:val="21"/>
                <w:szCs w:val="21"/>
                <w:highlight w:val="none"/>
                <w:u w:val="none"/>
              </w:rPr>
            </w:pPr>
            <w:r>
              <w:rPr>
                <w:rFonts w:hint="eastAsia" w:ascii="宋体" w:hAnsi="宋体" w:cs="Times New Roman"/>
                <w:color w:val="auto"/>
                <w:highlight w:val="none"/>
                <w:lang w:val="en-US" w:eastAsia="zh-CN"/>
              </w:rPr>
              <w:t>本合同违约金总额上限为签约合同价的20%，不足弥补发包人损失的，发包人有权要求承包人对超出部分继续赔偿。</w:t>
            </w:r>
          </w:p>
        </w:tc>
      </w:tr>
    </w:tbl>
    <w:p w14:paraId="2CFDE5A4">
      <w:pPr>
        <w:pStyle w:val="10"/>
        <w:pageBreakBefore w:val="0"/>
        <w:overflowPunct/>
        <w:bidi w:val="0"/>
        <w:spacing w:line="243" w:lineRule="auto"/>
        <w:ind w:right="0"/>
        <w:rPr>
          <w:color w:val="auto"/>
          <w:highlight w:val="none"/>
        </w:rPr>
      </w:pPr>
    </w:p>
    <w:p w14:paraId="06D285D1">
      <w:pPr>
        <w:pStyle w:val="10"/>
        <w:pageBreakBefore w:val="0"/>
        <w:overflowPunct/>
        <w:bidi w:val="0"/>
        <w:spacing w:line="243" w:lineRule="auto"/>
        <w:ind w:right="0"/>
        <w:rPr>
          <w:color w:val="auto"/>
          <w:highlight w:val="none"/>
        </w:rPr>
      </w:pPr>
    </w:p>
    <w:tbl>
      <w:tblPr>
        <w:tblStyle w:val="17"/>
        <w:tblW w:w="9207" w:type="dxa"/>
        <w:jc w:val="center"/>
        <w:tblLayout w:type="fixed"/>
        <w:tblCellMar>
          <w:top w:w="0" w:type="dxa"/>
          <w:left w:w="108" w:type="dxa"/>
          <w:bottom w:w="0" w:type="dxa"/>
          <w:right w:w="108" w:type="dxa"/>
        </w:tblCellMar>
      </w:tblPr>
      <w:tblGrid>
        <w:gridCol w:w="9207"/>
      </w:tblGrid>
      <w:tr w14:paraId="5B30DA47">
        <w:tblPrEx>
          <w:tblCellMar>
            <w:top w:w="0" w:type="dxa"/>
            <w:left w:w="108" w:type="dxa"/>
            <w:bottom w:w="0" w:type="dxa"/>
            <w:right w:w="108" w:type="dxa"/>
          </w:tblCellMar>
        </w:tblPrEx>
        <w:trPr>
          <w:jc w:val="center"/>
        </w:trPr>
        <w:tc>
          <w:tcPr>
            <w:tcW w:w="9207" w:type="dxa"/>
            <w:noWrap w:val="0"/>
            <w:vAlign w:val="top"/>
          </w:tcPr>
          <w:p w14:paraId="020217B8">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cs="宋体"/>
                <w:color w:val="auto"/>
                <w:sz w:val="24"/>
                <w:szCs w:val="24"/>
                <w:highlight w:val="none"/>
              </w:rPr>
            </w:pPr>
          </w:p>
        </w:tc>
      </w:tr>
    </w:tbl>
    <w:p w14:paraId="51A1D77B">
      <w:pPr>
        <w:pStyle w:val="10"/>
        <w:pageBreakBefore w:val="0"/>
        <w:overflowPunct/>
        <w:bidi w:val="0"/>
        <w:spacing w:line="243" w:lineRule="auto"/>
        <w:ind w:right="0"/>
        <w:rPr>
          <w:color w:val="auto"/>
          <w:highlight w:val="none"/>
        </w:rPr>
        <w:sectPr>
          <w:pgSz w:w="11906" w:h="16839"/>
          <w:pgMar w:top="1431" w:right="1134" w:bottom="1048" w:left="1134" w:header="0" w:footer="886" w:gutter="0"/>
          <w:pgNumType w:fmt="decimal"/>
          <w:cols w:space="720" w:num="1"/>
        </w:sectPr>
      </w:pPr>
    </w:p>
    <w:p w14:paraId="61E0926E">
      <w:pPr>
        <w:pageBreakBefore w:val="0"/>
        <w:overflowPunct/>
        <w:bidi w:val="0"/>
        <w:spacing w:before="203" w:line="227" w:lineRule="auto"/>
        <w:ind w:left="2796" w:right="0"/>
        <w:outlineLvl w:val="0"/>
        <w:rPr>
          <w:rFonts w:ascii="黑体" w:hAnsi="黑体" w:eastAsia="黑体" w:cs="黑体"/>
          <w:b/>
          <w:bCs/>
          <w:color w:val="auto"/>
          <w:spacing w:val="6"/>
          <w:sz w:val="31"/>
          <w:szCs w:val="31"/>
          <w:highlight w:val="none"/>
        </w:rPr>
      </w:pPr>
      <w:bookmarkStart w:id="88" w:name="bookmark9"/>
      <w:bookmarkEnd w:id="88"/>
      <w:bookmarkStart w:id="89" w:name="_Toc31971"/>
      <w:bookmarkStart w:id="90" w:name="_Toc14336"/>
      <w:bookmarkStart w:id="91" w:name="_Toc26781"/>
      <w:bookmarkStart w:id="92" w:name="_Toc14350"/>
      <w:r>
        <w:rPr>
          <w:rFonts w:ascii="黑体" w:hAnsi="黑体" w:eastAsia="黑体" w:cs="黑体"/>
          <w:b/>
          <w:bCs/>
          <w:color w:val="auto"/>
          <w:spacing w:val="6"/>
          <w:sz w:val="31"/>
          <w:szCs w:val="31"/>
          <w:highlight w:val="none"/>
        </w:rPr>
        <w:t>第</w:t>
      </w:r>
      <w:r>
        <w:rPr>
          <w:rFonts w:hint="eastAsia" w:ascii="黑体" w:hAnsi="黑体" w:eastAsia="黑体" w:cs="黑体"/>
          <w:b/>
          <w:bCs/>
          <w:color w:val="auto"/>
          <w:spacing w:val="6"/>
          <w:sz w:val="31"/>
          <w:szCs w:val="31"/>
          <w:highlight w:val="none"/>
          <w:lang w:val="en-US" w:eastAsia="zh-CN"/>
        </w:rPr>
        <w:t>六</w:t>
      </w:r>
      <w:r>
        <w:rPr>
          <w:rFonts w:ascii="黑体" w:hAnsi="黑体" w:eastAsia="黑体" w:cs="黑体"/>
          <w:b/>
          <w:bCs/>
          <w:color w:val="auto"/>
          <w:spacing w:val="6"/>
          <w:sz w:val="31"/>
          <w:szCs w:val="31"/>
          <w:highlight w:val="none"/>
        </w:rPr>
        <w:t>章</w:t>
      </w:r>
      <w:r>
        <w:rPr>
          <w:rFonts w:ascii="黑体" w:hAnsi="黑体" w:eastAsia="黑体" w:cs="黑体"/>
          <w:color w:val="auto"/>
          <w:spacing w:val="6"/>
          <w:sz w:val="31"/>
          <w:szCs w:val="31"/>
          <w:highlight w:val="none"/>
        </w:rPr>
        <w:t xml:space="preserve"> </w:t>
      </w:r>
      <w:r>
        <w:rPr>
          <w:rFonts w:ascii="黑体" w:hAnsi="黑体" w:eastAsia="黑体" w:cs="黑体"/>
          <w:b/>
          <w:bCs/>
          <w:color w:val="auto"/>
          <w:spacing w:val="6"/>
          <w:sz w:val="31"/>
          <w:szCs w:val="31"/>
          <w:highlight w:val="none"/>
        </w:rPr>
        <w:t>投标文件格式</w:t>
      </w:r>
      <w:bookmarkEnd w:id="89"/>
      <w:bookmarkEnd w:id="90"/>
      <w:bookmarkEnd w:id="91"/>
      <w:bookmarkEnd w:id="92"/>
    </w:p>
    <w:p w14:paraId="20DEC542">
      <w:pPr>
        <w:pageBreakBefore w:val="0"/>
        <w:overflowPunct/>
        <w:bidi w:val="0"/>
        <w:spacing w:before="203" w:line="227" w:lineRule="auto"/>
        <w:ind w:left="2796" w:right="0"/>
        <w:outlineLvl w:val="0"/>
        <w:rPr>
          <w:rFonts w:ascii="黑体" w:hAnsi="黑体" w:eastAsia="黑体" w:cs="黑体"/>
          <w:b/>
          <w:bCs/>
          <w:color w:val="auto"/>
          <w:spacing w:val="6"/>
          <w:sz w:val="31"/>
          <w:szCs w:val="31"/>
          <w:highlight w:val="none"/>
        </w:rPr>
        <w:sectPr>
          <w:footerReference r:id="rId15" w:type="default"/>
          <w:pgSz w:w="11906" w:h="16839"/>
          <w:pgMar w:top="1417" w:right="1134" w:bottom="1417" w:left="1429" w:header="0" w:footer="682" w:gutter="0"/>
          <w:pgNumType w:fmt="decimal"/>
          <w:cols w:space="720" w:num="1"/>
        </w:sectPr>
      </w:pPr>
    </w:p>
    <w:p w14:paraId="19C32A6C">
      <w:pPr>
        <w:keepNext w:val="0"/>
        <w:keepLines w:val="0"/>
        <w:spacing w:before="203" w:after="0" w:line="227" w:lineRule="auto"/>
        <w:ind w:left="2796"/>
        <w:jc w:val="left"/>
        <w:outlineLvl w:val="0"/>
        <w:rPr>
          <w:rFonts w:ascii="Tahoma" w:hAnsi="Tahoma"/>
          <w:b/>
          <w:bCs/>
          <w:color w:val="auto"/>
          <w:sz w:val="28"/>
          <w:szCs w:val="28"/>
          <w:highlight w:val="none"/>
        </w:rPr>
      </w:pPr>
      <w:bookmarkStart w:id="93" w:name="_Toc30331"/>
      <w:bookmarkStart w:id="94" w:name="_Toc21622"/>
      <w:r>
        <w:rPr>
          <w:rFonts w:hint="eastAsia" w:ascii="Cambria" w:hAnsi="Cambria"/>
          <w:b/>
          <w:bCs/>
          <w:color w:val="auto"/>
          <w:sz w:val="30"/>
          <w:szCs w:val="32"/>
          <w:highlight w:val="none"/>
        </w:rPr>
        <w:t>第</w:t>
      </w:r>
      <w:r>
        <w:rPr>
          <w:rFonts w:hint="eastAsia" w:ascii="Cambria" w:hAnsi="Cambria" w:eastAsia="宋体"/>
          <w:b/>
          <w:bCs/>
          <w:color w:val="auto"/>
          <w:sz w:val="30"/>
          <w:szCs w:val="32"/>
          <w:highlight w:val="none"/>
          <w:lang w:val="en-US" w:eastAsia="zh-CN"/>
        </w:rPr>
        <w:t>一</w:t>
      </w:r>
      <w:r>
        <w:rPr>
          <w:rFonts w:hint="eastAsia" w:ascii="Cambria" w:hAnsi="Cambria"/>
          <w:b/>
          <w:bCs/>
          <w:color w:val="auto"/>
          <w:sz w:val="30"/>
          <w:szCs w:val="32"/>
          <w:highlight w:val="none"/>
        </w:rPr>
        <w:t>节 资格审查资料</w:t>
      </w:r>
      <w:bookmarkEnd w:id="93"/>
      <w:bookmarkEnd w:id="94"/>
    </w:p>
    <w:p w14:paraId="3A3805C3">
      <w:pPr>
        <w:spacing w:line="440" w:lineRule="exact"/>
        <w:rPr>
          <w:rFonts w:ascii="仿宋_GB2312" w:eastAsia="仿宋_GB2312"/>
          <w:b/>
          <w:color w:val="auto"/>
          <w:sz w:val="20"/>
          <w:szCs w:val="20"/>
          <w:highlight w:val="none"/>
        </w:rPr>
      </w:pPr>
      <w:r>
        <w:rPr>
          <w:rFonts w:ascii="仿宋_GB2312" w:eastAsia="仿宋_GB2312"/>
          <w:b/>
          <w:color w:val="auto"/>
          <w:sz w:val="20"/>
          <w:szCs w:val="20"/>
          <w:highlight w:val="none"/>
        </w:rPr>
        <w:br w:type="page"/>
      </w:r>
    </w:p>
    <w:p w14:paraId="6935CAA0">
      <w:pPr>
        <w:spacing w:line="440" w:lineRule="exact"/>
        <w:rPr>
          <w:rFonts w:ascii="仿宋_GB2312" w:eastAsia="仿宋_GB2312"/>
          <w:b/>
          <w:color w:val="auto"/>
          <w:sz w:val="20"/>
          <w:szCs w:val="20"/>
          <w:highlight w:val="none"/>
        </w:rPr>
      </w:pPr>
    </w:p>
    <w:p w14:paraId="5FBE6916">
      <w:pPr>
        <w:jc w:val="center"/>
        <w:rPr>
          <w:rFonts w:ascii="仿宋_GB2312" w:eastAsia="仿宋_GB2312"/>
          <w:b/>
          <w:color w:val="auto"/>
          <w:sz w:val="28"/>
          <w:szCs w:val="28"/>
          <w:highlight w:val="none"/>
        </w:rPr>
      </w:pPr>
      <w:r>
        <w:rPr>
          <w:rFonts w:hint="eastAsia" w:ascii="仿宋_GB2312" w:eastAsia="仿宋_GB2312"/>
          <w:b/>
          <w:color w:val="auto"/>
          <w:sz w:val="44"/>
          <w:szCs w:val="44"/>
          <w:highlight w:val="none"/>
          <w:u w:val="single"/>
        </w:rPr>
        <w:t xml:space="preserve">    （标段名称）   </w:t>
      </w:r>
    </w:p>
    <w:p w14:paraId="5F61733A">
      <w:pPr>
        <w:rPr>
          <w:rFonts w:ascii="仿宋_GB2312" w:eastAsia="仿宋_GB2312"/>
          <w:b/>
          <w:color w:val="auto"/>
          <w:sz w:val="20"/>
          <w:szCs w:val="20"/>
          <w:highlight w:val="none"/>
        </w:rPr>
      </w:pPr>
    </w:p>
    <w:p w14:paraId="6D3B57F1">
      <w:pPr>
        <w:rPr>
          <w:rFonts w:ascii="仿宋_GB2312" w:eastAsia="仿宋_GB2312"/>
          <w:b/>
          <w:color w:val="auto"/>
          <w:sz w:val="20"/>
          <w:szCs w:val="20"/>
          <w:highlight w:val="none"/>
        </w:rPr>
      </w:pPr>
    </w:p>
    <w:p w14:paraId="7D69C3B3">
      <w:pPr>
        <w:rPr>
          <w:rFonts w:ascii="仿宋_GB2312" w:eastAsia="仿宋_GB2312"/>
          <w:b/>
          <w:color w:val="auto"/>
          <w:sz w:val="20"/>
          <w:szCs w:val="20"/>
          <w:highlight w:val="none"/>
        </w:rPr>
      </w:pPr>
    </w:p>
    <w:p w14:paraId="087AB9E2">
      <w:pPr>
        <w:rPr>
          <w:rFonts w:ascii="仿宋_GB2312" w:eastAsia="仿宋_GB2312"/>
          <w:b/>
          <w:color w:val="auto"/>
          <w:sz w:val="28"/>
          <w:szCs w:val="28"/>
          <w:highlight w:val="none"/>
        </w:rPr>
      </w:pPr>
    </w:p>
    <w:p w14:paraId="28D58A47">
      <w:pPr>
        <w:jc w:val="center"/>
        <w:rPr>
          <w:rFonts w:ascii="仿宋_GB2312" w:eastAsia="仿宋_GB2312"/>
          <w:b/>
          <w:color w:val="auto"/>
          <w:sz w:val="84"/>
          <w:szCs w:val="84"/>
          <w:highlight w:val="none"/>
        </w:rPr>
      </w:pPr>
      <w:r>
        <w:rPr>
          <w:rFonts w:hint="eastAsia" w:ascii="仿宋_GB2312" w:eastAsia="仿宋_GB2312"/>
          <w:b/>
          <w:color w:val="auto"/>
          <w:sz w:val="84"/>
          <w:szCs w:val="84"/>
          <w:highlight w:val="none"/>
        </w:rPr>
        <w:t>资格审查资料</w:t>
      </w:r>
    </w:p>
    <w:p w14:paraId="5BE15CB3">
      <w:pPr>
        <w:jc w:val="center"/>
        <w:rPr>
          <w:rFonts w:ascii="仿宋_GB2312" w:eastAsia="仿宋_GB2312"/>
          <w:b/>
          <w:color w:val="auto"/>
          <w:sz w:val="84"/>
          <w:szCs w:val="84"/>
          <w:highlight w:val="none"/>
        </w:rPr>
      </w:pPr>
      <w:r>
        <w:rPr>
          <w:rFonts w:hint="eastAsia" w:ascii="仿宋_GB2312" w:eastAsia="仿宋_GB2312"/>
          <w:b/>
          <w:color w:val="auto"/>
          <w:sz w:val="84"/>
          <w:szCs w:val="84"/>
          <w:highlight w:val="none"/>
        </w:rPr>
        <w:t>资信标</w:t>
      </w:r>
    </w:p>
    <w:p w14:paraId="4AB739F7">
      <w:pPr>
        <w:jc w:val="center"/>
        <w:rPr>
          <w:rFonts w:ascii="仿宋_GB2312" w:eastAsia="仿宋_GB2312"/>
          <w:b/>
          <w:color w:val="auto"/>
          <w:sz w:val="30"/>
          <w:szCs w:val="30"/>
          <w:highlight w:val="none"/>
        </w:rPr>
      </w:pPr>
      <w:r>
        <w:rPr>
          <w:rFonts w:hint="eastAsia" w:ascii="仿宋_GB2312" w:eastAsia="仿宋_GB2312"/>
          <w:b/>
          <w:color w:val="auto"/>
          <w:sz w:val="30"/>
          <w:szCs w:val="30"/>
          <w:highlight w:val="none"/>
        </w:rPr>
        <w:t>（含资格审查资料）</w:t>
      </w:r>
    </w:p>
    <w:p w14:paraId="3C617F26">
      <w:pPr>
        <w:rPr>
          <w:rFonts w:ascii="仿宋_GB2312" w:eastAsia="仿宋_GB2312"/>
          <w:b/>
          <w:color w:val="auto"/>
          <w:sz w:val="28"/>
          <w:szCs w:val="28"/>
          <w:highlight w:val="none"/>
        </w:rPr>
      </w:pPr>
    </w:p>
    <w:p w14:paraId="08E66817">
      <w:pPr>
        <w:ind w:firstLine="843" w:firstLineChars="300"/>
        <w:rPr>
          <w:rFonts w:ascii="仿宋_GB2312" w:eastAsia="仿宋_GB2312"/>
          <w:b/>
          <w:color w:val="auto"/>
          <w:sz w:val="28"/>
          <w:szCs w:val="28"/>
          <w:highlight w:val="none"/>
        </w:rPr>
      </w:pPr>
      <w:r>
        <w:rPr>
          <w:rFonts w:hint="eastAsia" w:ascii="仿宋_GB2312" w:eastAsia="仿宋_GB2312"/>
          <w:b/>
          <w:color w:val="auto"/>
          <w:sz w:val="28"/>
          <w:szCs w:val="28"/>
          <w:highlight w:val="none"/>
        </w:rPr>
        <w:t>投标人：</w:t>
      </w:r>
      <w:r>
        <w:rPr>
          <w:rFonts w:hint="eastAsia"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（盖公章）</w:t>
      </w:r>
    </w:p>
    <w:p w14:paraId="75EABF57">
      <w:pPr>
        <w:rPr>
          <w:color w:val="auto"/>
          <w:highlight w:val="none"/>
        </w:rPr>
      </w:pPr>
    </w:p>
    <w:p w14:paraId="5CB3FD56">
      <w:pPr>
        <w:rPr>
          <w:color w:val="auto"/>
          <w:highlight w:val="none"/>
        </w:rPr>
      </w:pPr>
    </w:p>
    <w:p w14:paraId="076275E4">
      <w:pPr>
        <w:jc w:val="center"/>
        <w:rPr>
          <w:rFonts w:ascii="仿宋_GB2312" w:eastAsia="仿宋_GB2312"/>
          <w:b/>
          <w:color w:val="auto"/>
          <w:sz w:val="28"/>
          <w:szCs w:val="28"/>
          <w:highlight w:val="none"/>
        </w:rPr>
      </w:pPr>
      <w:r>
        <w:rPr>
          <w:rFonts w:hint="eastAsia" w:ascii="仿宋_GB2312" w:eastAsia="仿宋_GB2312"/>
          <w:b/>
          <w:color w:val="auto"/>
          <w:sz w:val="28"/>
          <w:szCs w:val="28"/>
          <w:highlight w:val="none"/>
        </w:rPr>
        <w:t>日  期：</w:t>
      </w:r>
      <w:r>
        <w:rPr>
          <w:rFonts w:hint="eastAsia"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年</w:t>
      </w:r>
      <w:r>
        <w:rPr>
          <w:rFonts w:hint="eastAsia"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月</w:t>
      </w:r>
      <w:r>
        <w:rPr>
          <w:rFonts w:hint="eastAsia"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日</w:t>
      </w:r>
    </w:p>
    <w:p w14:paraId="3CD14DC0">
      <w:pPr>
        <w:spacing w:line="500" w:lineRule="exact"/>
        <w:ind w:firstLine="843" w:firstLineChars="300"/>
        <w:rPr>
          <w:rFonts w:hint="eastAsia" w:ascii="仿宋_GB2312" w:eastAsia="仿宋_GB2312"/>
          <w:b/>
          <w:color w:val="auto"/>
          <w:sz w:val="28"/>
          <w:szCs w:val="28"/>
          <w:highlight w:val="none"/>
        </w:rPr>
      </w:pPr>
    </w:p>
    <w:p w14:paraId="5ABA9491">
      <w:pPr>
        <w:autoSpaceDE w:val="0"/>
        <w:autoSpaceDN w:val="0"/>
        <w:spacing w:line="440" w:lineRule="atLeast"/>
        <w:ind w:right="50"/>
        <w:jc w:val="left"/>
        <w:rPr>
          <w:rFonts w:ascii="Times New Roman" w:hAnsi="Times New Roman"/>
          <w:color w:val="auto"/>
          <w:szCs w:val="24"/>
          <w:highlight w:val="none"/>
        </w:rPr>
      </w:pPr>
      <w:r>
        <w:rPr>
          <w:rFonts w:hint="eastAsia" w:ascii="仿宋_GB2312" w:hAnsi="宋体" w:eastAsia="仿宋_GB2312"/>
          <w:b/>
          <w:color w:val="auto"/>
          <w:sz w:val="24"/>
          <w:highlight w:val="none"/>
          <w:lang w:val="zh-CN"/>
        </w:rPr>
        <w:t>【注：联合体投标人全称格式（下同）：</w:t>
      </w:r>
      <w:r>
        <w:rPr>
          <w:rFonts w:hint="eastAsia" w:ascii="仿宋_GB2312" w:hAnsi="宋体" w:eastAsia="仿宋_GB2312"/>
          <w:b/>
          <w:color w:val="auto"/>
          <w:sz w:val="24"/>
          <w:highlight w:val="none"/>
          <w:u w:val="single"/>
          <w:lang w:val="zh-CN"/>
        </w:rPr>
        <w:t xml:space="preserve"> 牵头人单位全称</w:t>
      </w:r>
      <w:r>
        <w:rPr>
          <w:rFonts w:hint="eastAsia" w:ascii="仿宋_GB2312" w:hAnsi="宋体" w:eastAsia="仿宋_GB2312"/>
          <w:b/>
          <w:color w:val="auto"/>
          <w:sz w:val="24"/>
          <w:highlight w:val="none"/>
          <w:lang w:val="zh-CN"/>
        </w:rPr>
        <w:t>与</w:t>
      </w:r>
      <w:r>
        <w:rPr>
          <w:rFonts w:hint="eastAsia" w:ascii="仿宋_GB2312" w:hAnsi="宋体" w:eastAsia="仿宋_GB2312"/>
          <w:b/>
          <w:color w:val="auto"/>
          <w:sz w:val="24"/>
          <w:highlight w:val="none"/>
          <w:u w:val="single"/>
          <w:lang w:val="zh-CN"/>
        </w:rPr>
        <w:t>成员单位全称</w:t>
      </w:r>
      <w:r>
        <w:rPr>
          <w:rFonts w:hint="eastAsia" w:ascii="仿宋_GB2312" w:hAnsi="宋体" w:eastAsia="仿宋_GB2312"/>
          <w:b/>
          <w:color w:val="auto"/>
          <w:sz w:val="24"/>
          <w:highlight w:val="none"/>
          <w:lang w:val="zh-CN"/>
        </w:rPr>
        <w:t>联合体】</w:t>
      </w:r>
    </w:p>
    <w:p w14:paraId="30481F52">
      <w:pPr>
        <w:widowControl/>
        <w:spacing w:after="320"/>
        <w:jc w:val="center"/>
        <w:rPr>
          <w:rFonts w:ascii="黑体" w:hAnsi="黑体" w:eastAsia="黑体" w:cs="黑体"/>
          <w:color w:val="auto"/>
          <w:kern w:val="0"/>
          <w:sz w:val="32"/>
          <w:szCs w:val="32"/>
          <w:highlight w:val="none"/>
        </w:rPr>
      </w:pPr>
      <w:r>
        <w:rPr>
          <w:rFonts w:ascii="Times New Roman" w:hAnsi="Times New Roman" w:eastAsia="Times New Roman"/>
          <w:color w:val="auto"/>
          <w:kern w:val="0"/>
          <w:sz w:val="24"/>
          <w:szCs w:val="24"/>
          <w:highlight w:val="none"/>
          <w:lang w:eastAsia="en-US"/>
        </w:rPr>
        <w:br w:type="page"/>
      </w:r>
      <w:r>
        <w:rPr>
          <w:rFonts w:ascii="黑体" w:hAnsi="黑体" w:eastAsia="黑体" w:cs="黑体"/>
          <w:color w:val="auto"/>
          <w:kern w:val="0"/>
          <w:sz w:val="32"/>
          <w:szCs w:val="32"/>
          <w:highlight w:val="none"/>
        </w:rPr>
        <w:t>目录</w:t>
      </w:r>
    </w:p>
    <w:p w14:paraId="656B6553">
      <w:pPr>
        <w:widowControl/>
        <w:spacing w:before="240" w:after="240"/>
        <w:jc w:val="left"/>
        <w:rPr>
          <w:rFonts w:ascii="黑体" w:hAnsi="黑体" w:eastAsia="黑体" w:cs="黑体"/>
          <w:color w:val="auto"/>
          <w:kern w:val="0"/>
          <w:sz w:val="24"/>
          <w:szCs w:val="24"/>
          <w:highlight w:val="none"/>
        </w:rPr>
      </w:pPr>
      <w:r>
        <w:rPr>
          <w:rFonts w:ascii="黑体" w:hAnsi="黑体" w:eastAsia="黑体" w:cs="黑体"/>
          <w:color w:val="auto"/>
          <w:kern w:val="0"/>
          <w:sz w:val="24"/>
          <w:szCs w:val="24"/>
          <w:highlight w:val="none"/>
        </w:rPr>
        <w:t>一、资格审查强制性条件资料（企业）</w:t>
      </w:r>
    </w:p>
    <w:p w14:paraId="22BC8584">
      <w:pPr>
        <w:widowControl/>
        <w:spacing w:before="240" w:after="240"/>
        <w:jc w:val="left"/>
        <w:rPr>
          <w:rFonts w:ascii="黑体" w:hAnsi="黑体" w:eastAsia="黑体" w:cs="黑体"/>
          <w:color w:val="auto"/>
          <w:kern w:val="0"/>
          <w:sz w:val="24"/>
          <w:szCs w:val="24"/>
          <w:highlight w:val="none"/>
        </w:rPr>
      </w:pPr>
      <w:r>
        <w:rPr>
          <w:rFonts w:ascii="黑体" w:hAnsi="黑体" w:eastAsia="黑体" w:cs="黑体"/>
          <w:color w:val="auto"/>
          <w:kern w:val="0"/>
          <w:sz w:val="24"/>
          <w:szCs w:val="24"/>
          <w:highlight w:val="none"/>
        </w:rPr>
        <w:t>二、资格审查强制性条件资料（人员）</w:t>
      </w:r>
    </w:p>
    <w:p w14:paraId="319FF33B">
      <w:pPr>
        <w:widowControl/>
        <w:spacing w:before="240" w:after="240"/>
        <w:jc w:val="left"/>
        <w:rPr>
          <w:rFonts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lang w:val="en-US" w:eastAsia="zh-CN"/>
        </w:rPr>
        <w:t>三</w:t>
      </w:r>
      <w:r>
        <w:rPr>
          <w:rFonts w:ascii="黑体" w:hAnsi="黑体" w:eastAsia="黑体" w:cs="黑体"/>
          <w:color w:val="auto"/>
          <w:kern w:val="0"/>
          <w:sz w:val="24"/>
          <w:szCs w:val="24"/>
          <w:highlight w:val="none"/>
        </w:rPr>
        <w:t>、法定代表人身份证明</w:t>
      </w:r>
    </w:p>
    <w:p w14:paraId="50E65382">
      <w:pPr>
        <w:widowControl/>
        <w:spacing w:before="240" w:after="240"/>
        <w:jc w:val="left"/>
        <w:rPr>
          <w:rFonts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lang w:val="en-US" w:eastAsia="zh-CN"/>
        </w:rPr>
        <w:t>四</w:t>
      </w:r>
      <w:r>
        <w:rPr>
          <w:rFonts w:ascii="黑体" w:hAnsi="黑体" w:eastAsia="黑体" w:cs="黑体"/>
          <w:color w:val="auto"/>
          <w:kern w:val="0"/>
          <w:sz w:val="24"/>
          <w:szCs w:val="24"/>
          <w:highlight w:val="none"/>
        </w:rPr>
        <w:t>、授权委托书（如有）</w:t>
      </w:r>
    </w:p>
    <w:p w14:paraId="47DCD6FE">
      <w:pPr>
        <w:widowControl/>
        <w:spacing w:before="240" w:after="240"/>
        <w:jc w:val="left"/>
        <w:rPr>
          <w:rFonts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lang w:val="en-US" w:eastAsia="zh-CN"/>
        </w:rPr>
        <w:t>五</w:t>
      </w:r>
      <w:r>
        <w:rPr>
          <w:rFonts w:ascii="黑体" w:hAnsi="黑体" w:eastAsia="黑体" w:cs="黑体"/>
          <w:color w:val="auto"/>
          <w:kern w:val="0"/>
          <w:sz w:val="24"/>
          <w:szCs w:val="24"/>
          <w:highlight w:val="none"/>
        </w:rPr>
        <w:t>、资信标其他材料</w:t>
      </w:r>
    </w:p>
    <w:p w14:paraId="7E18D327">
      <w:pPr>
        <w:widowControl/>
        <w:spacing w:before="240" w:after="240"/>
        <w:jc w:val="left"/>
        <w:rPr>
          <w:rFonts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lang w:val="en-US" w:eastAsia="zh-CN"/>
        </w:rPr>
        <w:t>六</w:t>
      </w:r>
      <w:r>
        <w:rPr>
          <w:rFonts w:ascii="黑体" w:hAnsi="黑体" w:eastAsia="黑体" w:cs="黑体"/>
          <w:color w:val="auto"/>
          <w:kern w:val="0"/>
          <w:sz w:val="24"/>
          <w:szCs w:val="24"/>
          <w:highlight w:val="none"/>
        </w:rPr>
        <w:t>、附表一 投标人基本情况表</w:t>
      </w:r>
    </w:p>
    <w:p w14:paraId="37E5A057">
      <w:pPr>
        <w:widowControl/>
        <w:spacing w:before="240" w:after="240"/>
        <w:jc w:val="left"/>
        <w:rPr>
          <w:rFonts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lang w:val="en-US" w:eastAsia="zh-CN"/>
        </w:rPr>
        <w:t>七</w:t>
      </w:r>
      <w:r>
        <w:rPr>
          <w:rFonts w:ascii="黑体" w:hAnsi="黑体" w:eastAsia="黑体" w:cs="黑体"/>
          <w:color w:val="auto"/>
          <w:kern w:val="0"/>
          <w:sz w:val="24"/>
          <w:szCs w:val="24"/>
          <w:highlight w:val="none"/>
        </w:rPr>
        <w:t>、附表二 项目管理团队配备情况表（如有）</w:t>
      </w:r>
    </w:p>
    <w:p w14:paraId="485AB7D6">
      <w:pPr>
        <w:widowControl/>
        <w:spacing w:before="240" w:after="240"/>
        <w:jc w:val="left"/>
        <w:rPr>
          <w:rFonts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lang w:val="en-US" w:eastAsia="zh-CN"/>
        </w:rPr>
        <w:t>八</w:t>
      </w:r>
      <w:r>
        <w:rPr>
          <w:rFonts w:ascii="黑体" w:hAnsi="黑体" w:eastAsia="黑体" w:cs="黑体"/>
          <w:color w:val="auto"/>
          <w:kern w:val="0"/>
          <w:sz w:val="24"/>
          <w:szCs w:val="24"/>
          <w:highlight w:val="none"/>
        </w:rPr>
        <w:t>、附表三 拟派驻本招标项目的项目负责人和技术负责人（如有）简历</w:t>
      </w:r>
    </w:p>
    <w:p w14:paraId="52CD6271">
      <w:pPr>
        <w:widowControl/>
        <w:spacing w:before="240" w:after="240"/>
        <w:jc w:val="left"/>
        <w:rPr>
          <w:rFonts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lang w:val="en-US" w:eastAsia="zh-CN"/>
        </w:rPr>
        <w:t>九</w:t>
      </w:r>
      <w:r>
        <w:rPr>
          <w:rFonts w:ascii="黑体" w:hAnsi="黑体" w:eastAsia="黑体" w:cs="黑体"/>
          <w:color w:val="auto"/>
          <w:kern w:val="0"/>
          <w:sz w:val="24"/>
          <w:szCs w:val="24"/>
          <w:highlight w:val="none"/>
        </w:rPr>
        <w:t>、附表</w:t>
      </w:r>
      <w:r>
        <w:rPr>
          <w:rFonts w:hint="eastAsia" w:ascii="黑体" w:hAnsi="黑体" w:eastAsia="黑体" w:cs="黑体"/>
          <w:color w:val="auto"/>
          <w:kern w:val="0"/>
          <w:sz w:val="24"/>
          <w:szCs w:val="24"/>
          <w:highlight w:val="none"/>
          <w:lang w:val="en-US" w:eastAsia="zh-CN"/>
        </w:rPr>
        <w:t>四</w:t>
      </w:r>
      <w:r>
        <w:rPr>
          <w:rFonts w:ascii="黑体" w:hAnsi="黑体" w:eastAsia="黑体" w:cs="黑体"/>
          <w:color w:val="auto"/>
          <w:kern w:val="0"/>
          <w:sz w:val="24"/>
          <w:szCs w:val="24"/>
          <w:highlight w:val="none"/>
        </w:rPr>
        <w:t xml:space="preserve"> 诚信承诺书</w:t>
      </w:r>
    </w:p>
    <w:p w14:paraId="39EBF211">
      <w:pPr>
        <w:widowControl/>
        <w:spacing w:before="240" w:after="240"/>
        <w:jc w:val="left"/>
        <w:rPr>
          <w:rFonts w:ascii="黑体" w:hAnsi="黑体" w:eastAsia="黑体" w:cs="黑体"/>
          <w:color w:val="auto"/>
          <w:kern w:val="0"/>
          <w:sz w:val="24"/>
          <w:szCs w:val="24"/>
          <w:highlight w:val="none"/>
        </w:rPr>
      </w:pPr>
      <w:r>
        <w:rPr>
          <w:rFonts w:ascii="黑体" w:hAnsi="黑体" w:eastAsia="黑体" w:cs="黑体"/>
          <w:color w:val="auto"/>
          <w:kern w:val="0"/>
          <w:sz w:val="24"/>
          <w:szCs w:val="24"/>
          <w:highlight w:val="none"/>
        </w:rPr>
        <w:t>十、附表</w:t>
      </w:r>
      <w:r>
        <w:rPr>
          <w:rFonts w:hint="eastAsia" w:ascii="黑体" w:hAnsi="黑体" w:eastAsia="黑体" w:cs="黑体"/>
          <w:color w:val="auto"/>
          <w:kern w:val="0"/>
          <w:sz w:val="24"/>
          <w:szCs w:val="24"/>
          <w:highlight w:val="none"/>
          <w:lang w:val="en-US" w:eastAsia="zh-CN"/>
        </w:rPr>
        <w:t>五</w:t>
      </w:r>
      <w:r>
        <w:rPr>
          <w:rFonts w:ascii="黑体" w:hAnsi="黑体" w:eastAsia="黑体" w:cs="黑体"/>
          <w:color w:val="auto"/>
          <w:kern w:val="0"/>
          <w:sz w:val="24"/>
          <w:szCs w:val="24"/>
          <w:highlight w:val="none"/>
        </w:rPr>
        <w:t xml:space="preserve"> 企业信誉（信用）状况声明</w:t>
      </w:r>
    </w:p>
    <w:p w14:paraId="7208790C">
      <w:pPr>
        <w:widowControl/>
        <w:spacing w:before="240" w:after="240"/>
        <w:jc w:val="left"/>
        <w:rPr>
          <w:rFonts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lang w:val="en-US" w:eastAsia="zh-CN"/>
        </w:rPr>
        <w:t>十一</w:t>
      </w:r>
      <w:r>
        <w:rPr>
          <w:rFonts w:ascii="黑体" w:hAnsi="黑体" w:eastAsia="黑体" w:cs="黑体"/>
          <w:color w:val="auto"/>
          <w:kern w:val="0"/>
          <w:sz w:val="24"/>
          <w:szCs w:val="24"/>
          <w:highlight w:val="none"/>
        </w:rPr>
        <w:t>、附表</w:t>
      </w:r>
      <w:r>
        <w:rPr>
          <w:rFonts w:hint="eastAsia" w:ascii="黑体" w:hAnsi="黑体" w:eastAsia="黑体" w:cs="黑体"/>
          <w:color w:val="auto"/>
          <w:kern w:val="0"/>
          <w:sz w:val="24"/>
          <w:szCs w:val="24"/>
          <w:highlight w:val="none"/>
          <w:lang w:val="en-US" w:eastAsia="zh-CN"/>
        </w:rPr>
        <w:t>六</w:t>
      </w:r>
      <w:r>
        <w:rPr>
          <w:rFonts w:ascii="黑体" w:hAnsi="黑体" w:eastAsia="黑体" w:cs="黑体"/>
          <w:color w:val="auto"/>
          <w:kern w:val="0"/>
          <w:sz w:val="24"/>
          <w:szCs w:val="24"/>
          <w:highlight w:val="none"/>
        </w:rPr>
        <w:t xml:space="preserve"> 标后履约承诺书</w:t>
      </w:r>
    </w:p>
    <w:p w14:paraId="091D3CC4">
      <w:pPr>
        <w:keepNext/>
        <w:keepLines/>
        <w:tabs>
          <w:tab w:val="left" w:pos="2520"/>
        </w:tabs>
        <w:spacing w:before="260" w:after="260" w:line="410" w:lineRule="auto"/>
        <w:ind w:firstLine="138" w:firstLineChars="49"/>
        <w:jc w:val="center"/>
        <w:outlineLvl w:val="2"/>
        <w:rPr>
          <w:rFonts w:hint="eastAsia" w:ascii="黑体" w:eastAsia="黑体" w:cs="宋体"/>
          <w:color w:val="auto"/>
          <w:sz w:val="28"/>
          <w:szCs w:val="20"/>
          <w:highlight w:val="none"/>
        </w:rPr>
      </w:pPr>
      <w:r>
        <w:rPr>
          <w:rFonts w:hint="eastAsia" w:ascii="宋体" w:hAnsi="宋体" w:eastAsia="黑体" w:cs="宋体"/>
          <w:b/>
          <w:color w:val="auto"/>
          <w:sz w:val="28"/>
          <w:szCs w:val="20"/>
          <w:highlight w:val="none"/>
        </w:rPr>
        <w:br w:type="page"/>
      </w:r>
      <w:bookmarkStart w:id="95" w:name="_Toc437961106"/>
      <w:bookmarkStart w:id="96" w:name="_Toc354672419"/>
      <w:r>
        <w:rPr>
          <w:rFonts w:hint="eastAsia" w:ascii="宋体" w:hAnsi="宋体" w:eastAsia="黑体" w:cs="宋体"/>
          <w:b/>
          <w:color w:val="auto"/>
          <w:sz w:val="28"/>
          <w:szCs w:val="20"/>
          <w:highlight w:val="none"/>
        </w:rPr>
        <w:t>一、资格审查强制性条件资料（企业）</w:t>
      </w:r>
      <w:bookmarkEnd w:id="95"/>
      <w:bookmarkEnd w:id="96"/>
    </w:p>
    <w:tbl>
      <w:tblPr>
        <w:tblStyle w:val="17"/>
        <w:tblW w:w="9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3"/>
        <w:gridCol w:w="5741"/>
        <w:gridCol w:w="2354"/>
      </w:tblGrid>
      <w:tr w14:paraId="6EB8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noWrap w:val="0"/>
            <w:vAlign w:val="center"/>
          </w:tcPr>
          <w:p w14:paraId="6A00B572">
            <w:pPr>
              <w:widowControl w:val="0"/>
              <w:spacing w:line="400" w:lineRule="exact"/>
              <w:jc w:val="center"/>
              <w:rPr>
                <w:rFonts w:ascii="Calibri" w:hAnsi="Calibri" w:eastAsia="宋体"/>
                <w:b/>
                <w:bCs/>
                <w:color w:val="auto"/>
                <w:kern w:val="2"/>
                <w:sz w:val="21"/>
                <w:szCs w:val="22"/>
                <w:highlight w:val="none"/>
                <w:lang w:val="en-US" w:eastAsia="zh-CN" w:bidi="ar-SA"/>
              </w:rPr>
            </w:pPr>
            <w:r>
              <w:rPr>
                <w:rFonts w:hint="eastAsia" w:ascii="Calibri" w:hAnsi="Calibri" w:eastAsia="宋体"/>
                <w:b/>
                <w:bCs/>
                <w:color w:val="auto"/>
                <w:kern w:val="2"/>
                <w:sz w:val="24"/>
                <w:szCs w:val="22"/>
                <w:highlight w:val="none"/>
                <w:lang w:val="en-US" w:eastAsia="zh-CN" w:bidi="ar-SA"/>
              </w:rPr>
              <w:t>资格条件</w:t>
            </w:r>
          </w:p>
        </w:tc>
        <w:tc>
          <w:tcPr>
            <w:tcW w:w="5741" w:type="dxa"/>
            <w:noWrap w:val="0"/>
            <w:vAlign w:val="center"/>
          </w:tcPr>
          <w:p w14:paraId="29B092E8">
            <w:pPr>
              <w:widowControl w:val="0"/>
              <w:spacing w:line="400" w:lineRule="exact"/>
              <w:jc w:val="center"/>
              <w:rPr>
                <w:rFonts w:hint="eastAsia" w:ascii="Calibri" w:hAnsi="Calibri" w:eastAsia="宋体"/>
                <w:b/>
                <w:bCs/>
                <w:color w:val="auto"/>
                <w:kern w:val="2"/>
                <w:sz w:val="21"/>
                <w:szCs w:val="22"/>
                <w:highlight w:val="none"/>
                <w:lang w:val="en-US" w:eastAsia="zh-CN" w:bidi="ar-SA"/>
              </w:rPr>
            </w:pPr>
            <w:r>
              <w:rPr>
                <w:rFonts w:hint="eastAsia" w:ascii="Calibri" w:hAnsi="Calibri" w:eastAsia="宋体"/>
                <w:b/>
                <w:bCs/>
                <w:color w:val="auto"/>
                <w:kern w:val="2"/>
                <w:sz w:val="24"/>
                <w:szCs w:val="22"/>
                <w:highlight w:val="none"/>
                <w:lang w:val="en-US" w:eastAsia="zh-CN" w:bidi="ar-SA"/>
              </w:rPr>
              <w:t>资格要求</w:t>
            </w:r>
          </w:p>
        </w:tc>
        <w:tc>
          <w:tcPr>
            <w:tcW w:w="2354" w:type="dxa"/>
            <w:noWrap w:val="0"/>
            <w:vAlign w:val="center"/>
          </w:tcPr>
          <w:p w14:paraId="751C58C7">
            <w:pPr>
              <w:widowControl w:val="0"/>
              <w:spacing w:line="400" w:lineRule="exact"/>
              <w:jc w:val="center"/>
              <w:rPr>
                <w:rFonts w:hint="eastAsia" w:ascii="Calibri" w:hAnsi="Calibri" w:eastAsia="宋体"/>
                <w:b/>
                <w:bCs/>
                <w:color w:val="auto"/>
                <w:kern w:val="2"/>
                <w:sz w:val="24"/>
                <w:szCs w:val="22"/>
                <w:highlight w:val="none"/>
                <w:lang w:val="en-US" w:eastAsia="zh-CN" w:bidi="ar-SA"/>
              </w:rPr>
            </w:pPr>
            <w:r>
              <w:rPr>
                <w:rFonts w:hint="eastAsia" w:ascii="Calibri" w:hAnsi="Calibri" w:eastAsia="宋体"/>
                <w:b/>
                <w:bCs/>
                <w:color w:val="auto"/>
                <w:kern w:val="2"/>
                <w:sz w:val="24"/>
                <w:szCs w:val="22"/>
                <w:highlight w:val="none"/>
                <w:lang w:val="en-US" w:eastAsia="zh-CN" w:bidi="ar-SA"/>
              </w:rPr>
              <w:t>投标人达到程度的简述（由投标人填写）</w:t>
            </w:r>
          </w:p>
        </w:tc>
      </w:tr>
      <w:tr w14:paraId="18077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3" w:type="dxa"/>
            <w:noWrap w:val="0"/>
            <w:vAlign w:val="center"/>
          </w:tcPr>
          <w:p w14:paraId="3BCFB1C3">
            <w:pPr>
              <w:widowControl w:val="0"/>
              <w:spacing w:line="400" w:lineRule="exact"/>
              <w:jc w:val="center"/>
              <w:rPr>
                <w:rFonts w:hint="eastAsia" w:ascii="Calibri" w:hAnsi="Calibri" w:eastAsia="宋体"/>
                <w:color w:val="auto"/>
                <w:kern w:val="2"/>
                <w:sz w:val="21"/>
                <w:szCs w:val="22"/>
                <w:highlight w:val="none"/>
                <w:lang w:val="en-US" w:eastAsia="zh-CN" w:bidi="ar-SA"/>
              </w:rPr>
            </w:pPr>
            <w:r>
              <w:rPr>
                <w:rFonts w:hint="eastAsia" w:ascii="宋体" w:hAnsi="宋体" w:eastAsia="宋体"/>
                <w:bCs/>
                <w:color w:val="auto"/>
                <w:kern w:val="2"/>
                <w:sz w:val="24"/>
                <w:szCs w:val="21"/>
                <w:highlight w:val="none"/>
                <w:lang w:val="en-US" w:eastAsia="zh-CN" w:bidi="ar-SA"/>
              </w:rPr>
              <w:t>法人资格</w:t>
            </w:r>
          </w:p>
        </w:tc>
        <w:tc>
          <w:tcPr>
            <w:tcW w:w="5741" w:type="dxa"/>
            <w:noWrap w:val="0"/>
            <w:vAlign w:val="center"/>
          </w:tcPr>
          <w:p w14:paraId="355CCD7C">
            <w:pPr>
              <w:widowControl w:val="0"/>
              <w:spacing w:line="400" w:lineRule="exact"/>
              <w:jc w:val="left"/>
              <w:rPr>
                <w:rFonts w:hint="eastAsia" w:ascii="宋体" w:hAnsi="宋体" w:eastAsia="宋体"/>
                <w:bCs/>
                <w:color w:val="auto"/>
                <w:kern w:val="2"/>
                <w:sz w:val="24"/>
                <w:szCs w:val="21"/>
                <w:highlight w:val="none"/>
                <w:lang w:val="en-US" w:eastAsia="zh-CN" w:bidi="ar-SA"/>
              </w:rPr>
            </w:pPr>
            <w:r>
              <w:rPr>
                <w:rFonts w:hint="eastAsia" w:ascii="宋体" w:hAnsi="宋体" w:eastAsia="宋体"/>
                <w:bCs/>
                <w:color w:val="auto"/>
                <w:kern w:val="2"/>
                <w:sz w:val="24"/>
                <w:szCs w:val="21"/>
                <w:highlight w:val="none"/>
                <w:lang w:val="en-US" w:eastAsia="zh-CN" w:bidi="ar-SA"/>
              </w:rPr>
              <w:t>投标人须在中华人民共和国境内注册，且具备独立承担民事责任能力的法人或其它组织；投标人须提供有效的营业执照复印件并加盖投标人单位公章。</w:t>
            </w:r>
          </w:p>
        </w:tc>
        <w:tc>
          <w:tcPr>
            <w:tcW w:w="2354" w:type="dxa"/>
            <w:noWrap w:val="0"/>
            <w:vAlign w:val="center"/>
          </w:tcPr>
          <w:p w14:paraId="03F2704A">
            <w:pPr>
              <w:widowControl w:val="0"/>
              <w:spacing w:line="400" w:lineRule="exact"/>
              <w:jc w:val="center"/>
              <w:rPr>
                <w:rFonts w:hint="eastAsia" w:ascii="Calibri" w:hAnsi="Calibri" w:eastAsia="宋体"/>
                <w:color w:val="auto"/>
                <w:kern w:val="2"/>
                <w:sz w:val="21"/>
                <w:szCs w:val="22"/>
                <w:highlight w:val="none"/>
                <w:lang w:val="en-US" w:eastAsia="zh-CN" w:bidi="ar-SA"/>
              </w:rPr>
            </w:pPr>
          </w:p>
        </w:tc>
      </w:tr>
      <w:tr w14:paraId="79DF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33" w:type="dxa"/>
            <w:noWrap w:val="0"/>
            <w:vAlign w:val="center"/>
          </w:tcPr>
          <w:p w14:paraId="71CD9421">
            <w:pPr>
              <w:spacing w:line="400" w:lineRule="exact"/>
              <w:jc w:val="center"/>
              <w:rPr>
                <w:rFonts w:hint="eastAsia" w:ascii="宋体" w:hAnsi="宋体" w:eastAsia="宋体" w:cs="Times New Roman"/>
                <w:bCs/>
                <w:color w:val="auto"/>
                <w:sz w:val="24"/>
                <w:szCs w:val="21"/>
                <w:highlight w:val="none"/>
                <w:lang w:val="en-US" w:eastAsia="zh-CN"/>
              </w:rPr>
            </w:pPr>
            <w:r>
              <w:rPr>
                <w:rFonts w:hint="eastAsia" w:ascii="宋体" w:hAnsi="宋体" w:eastAsia="宋体" w:cs="Times New Roman"/>
                <w:bCs/>
                <w:color w:val="auto"/>
                <w:sz w:val="24"/>
                <w:szCs w:val="21"/>
                <w:highlight w:val="none"/>
                <w:lang w:val="en-US" w:eastAsia="zh-CN"/>
              </w:rPr>
              <w:t>进粤登记</w:t>
            </w:r>
          </w:p>
          <w:p w14:paraId="42619878">
            <w:pPr>
              <w:spacing w:line="400" w:lineRule="exact"/>
              <w:jc w:val="center"/>
              <w:rPr>
                <w:rFonts w:hint="eastAsia" w:ascii="宋体" w:hAnsi="宋体" w:eastAsia="宋体" w:cs="Times New Roman"/>
                <w:bCs/>
                <w:color w:val="auto"/>
                <w:kern w:val="2"/>
                <w:sz w:val="24"/>
                <w:szCs w:val="21"/>
                <w:highlight w:val="none"/>
                <w:lang w:val="en-US" w:eastAsia="zh-CN" w:bidi="ar-SA"/>
              </w:rPr>
            </w:pPr>
            <w:r>
              <w:rPr>
                <w:rFonts w:hint="eastAsia" w:ascii="宋体" w:hAnsi="宋体" w:eastAsia="宋体" w:cs="Times New Roman"/>
                <w:bCs/>
                <w:color w:val="auto"/>
                <w:sz w:val="24"/>
                <w:szCs w:val="21"/>
                <w:highlight w:val="none"/>
                <w:lang w:val="en-US" w:eastAsia="zh-CN"/>
              </w:rPr>
              <w:t>（如有）</w:t>
            </w:r>
          </w:p>
        </w:tc>
        <w:tc>
          <w:tcPr>
            <w:tcW w:w="5741" w:type="dxa"/>
            <w:noWrap w:val="0"/>
            <w:vAlign w:val="top"/>
          </w:tcPr>
          <w:p w14:paraId="59E49ED0">
            <w:pPr>
              <w:spacing w:line="400" w:lineRule="exact"/>
              <w:jc w:val="both"/>
              <w:rPr>
                <w:rFonts w:hint="eastAsia" w:ascii="宋体" w:hAnsi="宋体" w:eastAsia="宋体" w:cs="Times New Roman"/>
                <w:bCs/>
                <w:color w:val="auto"/>
                <w:kern w:val="2"/>
                <w:sz w:val="24"/>
                <w:szCs w:val="21"/>
                <w:highlight w:val="none"/>
                <w:lang w:val="en-US" w:eastAsia="zh-CN" w:bidi="ar-SA"/>
              </w:rPr>
            </w:pPr>
            <w:r>
              <w:rPr>
                <w:rFonts w:hint="eastAsia" w:ascii="宋体" w:hAnsi="宋体" w:eastAsia="宋体" w:cs="Times New Roman"/>
                <w:bCs/>
                <w:color w:val="auto"/>
                <w:sz w:val="24"/>
                <w:szCs w:val="21"/>
                <w:highlight w:val="none"/>
              </w:rPr>
              <w:t>省外企业提供“进粤企业和人员诚信信息登记平台”登记信息的网页打印件。</w:t>
            </w:r>
          </w:p>
        </w:tc>
        <w:tc>
          <w:tcPr>
            <w:tcW w:w="2354" w:type="dxa"/>
            <w:noWrap w:val="0"/>
            <w:vAlign w:val="center"/>
          </w:tcPr>
          <w:p w14:paraId="19194433">
            <w:pPr>
              <w:widowControl w:val="0"/>
              <w:spacing w:line="400" w:lineRule="exact"/>
              <w:jc w:val="center"/>
              <w:rPr>
                <w:rFonts w:hint="eastAsia" w:ascii="Calibri" w:hAnsi="Calibri" w:eastAsia="宋体"/>
                <w:color w:val="auto"/>
                <w:kern w:val="2"/>
                <w:sz w:val="21"/>
                <w:szCs w:val="22"/>
                <w:highlight w:val="none"/>
                <w:lang w:val="en-US" w:eastAsia="zh-CN" w:bidi="ar-SA"/>
              </w:rPr>
            </w:pPr>
          </w:p>
        </w:tc>
      </w:tr>
      <w:tr w14:paraId="33E9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633" w:type="dxa"/>
            <w:noWrap w:val="0"/>
            <w:vAlign w:val="center"/>
          </w:tcPr>
          <w:p w14:paraId="1AC28881">
            <w:pPr>
              <w:widowControl w:val="0"/>
              <w:spacing w:line="400" w:lineRule="exact"/>
              <w:jc w:val="center"/>
              <w:rPr>
                <w:rFonts w:hint="eastAsia" w:ascii="宋体" w:hAnsi="宋体" w:eastAsia="宋体"/>
                <w:bCs/>
                <w:color w:val="auto"/>
                <w:kern w:val="2"/>
                <w:sz w:val="24"/>
                <w:szCs w:val="21"/>
                <w:highlight w:val="none"/>
                <w:lang w:val="en-US" w:eastAsia="zh-CN" w:bidi="ar-SA"/>
              </w:rPr>
            </w:pPr>
            <w:r>
              <w:rPr>
                <w:rFonts w:hint="eastAsia" w:ascii="宋体" w:hAnsi="宋体" w:eastAsia="宋体"/>
                <w:bCs/>
                <w:color w:val="auto"/>
                <w:kern w:val="2"/>
                <w:sz w:val="24"/>
                <w:szCs w:val="21"/>
                <w:highlight w:val="none"/>
                <w:lang w:val="en-US" w:eastAsia="zh-CN" w:bidi="ar-SA"/>
              </w:rPr>
              <w:t>信誉</w:t>
            </w:r>
          </w:p>
        </w:tc>
        <w:tc>
          <w:tcPr>
            <w:tcW w:w="5741" w:type="dxa"/>
            <w:noWrap w:val="0"/>
            <w:vAlign w:val="top"/>
          </w:tcPr>
          <w:p w14:paraId="6482E9D5">
            <w:pPr>
              <w:widowControl w:val="0"/>
              <w:spacing w:line="400" w:lineRule="exact"/>
              <w:jc w:val="both"/>
              <w:rPr>
                <w:rFonts w:hint="eastAsia" w:ascii="Calibri" w:hAnsi="Calibri" w:eastAsia="宋体"/>
                <w:color w:val="auto"/>
                <w:kern w:val="2"/>
                <w:sz w:val="24"/>
                <w:szCs w:val="22"/>
                <w:highlight w:val="none"/>
                <w:lang w:val="en-US" w:eastAsia="zh-CN" w:bidi="ar-SA"/>
              </w:rPr>
            </w:pPr>
            <w:r>
              <w:rPr>
                <w:rFonts w:hint="eastAsia" w:ascii="Calibri" w:hAnsi="Calibri" w:eastAsia="宋体"/>
                <w:color w:val="auto"/>
                <w:kern w:val="2"/>
                <w:sz w:val="24"/>
                <w:szCs w:val="22"/>
                <w:highlight w:val="none"/>
                <w:lang w:val="en-US" w:eastAsia="zh-CN" w:bidi="ar-SA"/>
              </w:rPr>
              <w:t>提交企业信誉（信用）状况声明。</w:t>
            </w:r>
          </w:p>
        </w:tc>
        <w:tc>
          <w:tcPr>
            <w:tcW w:w="2354" w:type="dxa"/>
            <w:noWrap w:val="0"/>
            <w:vAlign w:val="top"/>
          </w:tcPr>
          <w:p w14:paraId="5749A973">
            <w:pPr>
              <w:widowControl w:val="0"/>
              <w:spacing w:line="400" w:lineRule="exact"/>
              <w:jc w:val="center"/>
              <w:rPr>
                <w:rFonts w:ascii="Calibri" w:hAnsi="Calibri" w:eastAsia="宋体"/>
                <w:color w:val="auto"/>
                <w:kern w:val="2"/>
                <w:sz w:val="21"/>
                <w:szCs w:val="22"/>
                <w:highlight w:val="none"/>
                <w:lang w:val="en-US" w:eastAsia="zh-CN" w:bidi="ar-SA"/>
              </w:rPr>
            </w:pPr>
          </w:p>
        </w:tc>
      </w:tr>
      <w:tr w14:paraId="50CA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633" w:type="dxa"/>
            <w:noWrap w:val="0"/>
            <w:vAlign w:val="center"/>
          </w:tcPr>
          <w:p w14:paraId="385DA62A">
            <w:pPr>
              <w:widowControl w:val="0"/>
              <w:spacing w:line="400" w:lineRule="exact"/>
              <w:jc w:val="center"/>
              <w:rPr>
                <w:rFonts w:ascii="宋体" w:hAnsi="宋体" w:eastAsia="宋体"/>
                <w:bCs/>
                <w:color w:val="auto"/>
                <w:kern w:val="2"/>
                <w:sz w:val="24"/>
                <w:szCs w:val="21"/>
                <w:highlight w:val="none"/>
                <w:lang w:val="en-US" w:eastAsia="zh-CN" w:bidi="ar-SA"/>
              </w:rPr>
            </w:pPr>
            <w:r>
              <w:rPr>
                <w:rFonts w:hint="eastAsia" w:ascii="宋体" w:hAnsi="宋体" w:eastAsia="宋体"/>
                <w:bCs/>
                <w:color w:val="auto"/>
                <w:kern w:val="2"/>
                <w:sz w:val="24"/>
                <w:szCs w:val="21"/>
                <w:highlight w:val="none"/>
                <w:lang w:val="en-US" w:eastAsia="zh-CN" w:bidi="ar-SA"/>
              </w:rPr>
              <w:t>法定代表人</w:t>
            </w:r>
          </w:p>
        </w:tc>
        <w:tc>
          <w:tcPr>
            <w:tcW w:w="5741" w:type="dxa"/>
            <w:noWrap w:val="0"/>
            <w:vAlign w:val="top"/>
          </w:tcPr>
          <w:p w14:paraId="234DC696">
            <w:pPr>
              <w:widowControl w:val="0"/>
              <w:spacing w:line="400" w:lineRule="exact"/>
              <w:jc w:val="both"/>
              <w:rPr>
                <w:rFonts w:hint="eastAsia" w:ascii="宋体" w:hAnsi="宋体" w:eastAsia="宋体"/>
                <w:color w:val="auto"/>
                <w:kern w:val="2"/>
                <w:sz w:val="24"/>
                <w:szCs w:val="22"/>
                <w:highlight w:val="none"/>
                <w:lang w:val="en-US" w:eastAsia="zh-CN" w:bidi="ar-SA"/>
              </w:rPr>
            </w:pPr>
            <w:r>
              <w:rPr>
                <w:rFonts w:hint="eastAsia" w:ascii="宋体" w:hAnsi="宋体" w:eastAsia="宋体"/>
                <w:color w:val="auto"/>
                <w:kern w:val="2"/>
                <w:sz w:val="24"/>
                <w:szCs w:val="22"/>
                <w:highlight w:val="none"/>
                <w:lang w:val="en-US" w:eastAsia="zh-CN" w:bidi="ar-SA"/>
              </w:rPr>
              <w:t>提供身份证明书及身份证扫描件。</w:t>
            </w:r>
          </w:p>
        </w:tc>
        <w:tc>
          <w:tcPr>
            <w:tcW w:w="2354" w:type="dxa"/>
            <w:noWrap w:val="0"/>
            <w:vAlign w:val="top"/>
          </w:tcPr>
          <w:p w14:paraId="085DDB04">
            <w:pPr>
              <w:widowControl w:val="0"/>
              <w:spacing w:line="400" w:lineRule="exact"/>
              <w:jc w:val="center"/>
              <w:rPr>
                <w:rFonts w:ascii="Calibri" w:hAnsi="Calibri" w:eastAsia="宋体"/>
                <w:color w:val="auto"/>
                <w:kern w:val="2"/>
                <w:sz w:val="21"/>
                <w:szCs w:val="22"/>
                <w:highlight w:val="none"/>
                <w:lang w:val="en-US" w:eastAsia="zh-CN" w:bidi="ar-SA"/>
              </w:rPr>
            </w:pPr>
          </w:p>
        </w:tc>
      </w:tr>
      <w:tr w14:paraId="18980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633" w:type="dxa"/>
            <w:noWrap w:val="0"/>
            <w:vAlign w:val="center"/>
          </w:tcPr>
          <w:p w14:paraId="2A435B99">
            <w:pPr>
              <w:widowControl w:val="0"/>
              <w:spacing w:line="400" w:lineRule="exact"/>
              <w:jc w:val="center"/>
              <w:rPr>
                <w:rFonts w:hint="eastAsia" w:ascii="宋体" w:hAnsi="宋体" w:eastAsia="宋体"/>
                <w:bCs/>
                <w:color w:val="auto"/>
                <w:kern w:val="2"/>
                <w:sz w:val="24"/>
                <w:szCs w:val="21"/>
                <w:highlight w:val="none"/>
                <w:lang w:val="en-US" w:eastAsia="zh-CN" w:bidi="ar-SA"/>
              </w:rPr>
            </w:pPr>
            <w:r>
              <w:rPr>
                <w:rFonts w:hint="eastAsia" w:ascii="宋体" w:hAnsi="宋体" w:eastAsia="宋体"/>
                <w:bCs/>
                <w:color w:val="auto"/>
                <w:kern w:val="2"/>
                <w:sz w:val="24"/>
                <w:szCs w:val="21"/>
                <w:highlight w:val="none"/>
                <w:lang w:val="en-US" w:eastAsia="zh-CN" w:bidi="ar-SA"/>
              </w:rPr>
              <w:t>委托代理人</w:t>
            </w:r>
          </w:p>
          <w:p w14:paraId="65EB1BC3">
            <w:pPr>
              <w:widowControl w:val="0"/>
              <w:spacing w:line="400" w:lineRule="exact"/>
              <w:jc w:val="center"/>
              <w:rPr>
                <w:rFonts w:ascii="宋体" w:hAnsi="宋体" w:eastAsia="宋体"/>
                <w:bCs/>
                <w:color w:val="auto"/>
                <w:kern w:val="2"/>
                <w:sz w:val="24"/>
                <w:szCs w:val="21"/>
                <w:highlight w:val="none"/>
                <w:lang w:val="en-US" w:eastAsia="zh-CN" w:bidi="ar-SA"/>
              </w:rPr>
            </w:pPr>
            <w:r>
              <w:rPr>
                <w:rFonts w:hint="eastAsia" w:ascii="宋体" w:hAnsi="宋体" w:eastAsia="宋体"/>
                <w:bCs/>
                <w:color w:val="auto"/>
                <w:kern w:val="2"/>
                <w:sz w:val="24"/>
                <w:szCs w:val="21"/>
                <w:highlight w:val="none"/>
                <w:lang w:val="en-US" w:eastAsia="zh-CN" w:bidi="ar-SA"/>
              </w:rPr>
              <w:t>（如有）</w:t>
            </w:r>
          </w:p>
        </w:tc>
        <w:tc>
          <w:tcPr>
            <w:tcW w:w="5741" w:type="dxa"/>
            <w:noWrap w:val="0"/>
            <w:vAlign w:val="top"/>
          </w:tcPr>
          <w:p w14:paraId="2D7C0928">
            <w:pPr>
              <w:widowControl w:val="0"/>
              <w:spacing w:line="400" w:lineRule="exact"/>
              <w:jc w:val="both"/>
              <w:rPr>
                <w:rFonts w:hint="eastAsia" w:ascii="宋体" w:hAnsi="宋体" w:eastAsia="宋体"/>
                <w:bCs/>
                <w:color w:val="auto"/>
                <w:kern w:val="2"/>
                <w:sz w:val="24"/>
                <w:szCs w:val="21"/>
                <w:highlight w:val="none"/>
                <w:lang w:val="en-US" w:eastAsia="zh-CN" w:bidi="ar-SA"/>
              </w:rPr>
            </w:pPr>
            <w:r>
              <w:rPr>
                <w:rFonts w:hint="eastAsia" w:ascii="宋体" w:hAnsi="宋体" w:eastAsia="宋体"/>
                <w:color w:val="auto"/>
                <w:kern w:val="2"/>
                <w:sz w:val="24"/>
                <w:szCs w:val="22"/>
                <w:highlight w:val="none"/>
                <w:lang w:val="en-US" w:eastAsia="zh-CN" w:bidi="ar-SA"/>
              </w:rPr>
              <w:t>提供符合招标文件规定的有效授权文件及身份证扫描件。</w:t>
            </w:r>
          </w:p>
        </w:tc>
        <w:tc>
          <w:tcPr>
            <w:tcW w:w="2354" w:type="dxa"/>
            <w:noWrap w:val="0"/>
            <w:vAlign w:val="top"/>
          </w:tcPr>
          <w:p w14:paraId="10059AA3">
            <w:pPr>
              <w:widowControl w:val="0"/>
              <w:spacing w:line="400" w:lineRule="exact"/>
              <w:jc w:val="center"/>
              <w:rPr>
                <w:rFonts w:ascii="Calibri" w:hAnsi="Calibri" w:eastAsia="宋体"/>
                <w:color w:val="auto"/>
                <w:kern w:val="2"/>
                <w:sz w:val="21"/>
                <w:szCs w:val="22"/>
                <w:highlight w:val="none"/>
                <w:lang w:val="en-US" w:eastAsia="zh-CN" w:bidi="ar-SA"/>
              </w:rPr>
            </w:pPr>
          </w:p>
        </w:tc>
      </w:tr>
    </w:tbl>
    <w:p w14:paraId="77C5A0A1">
      <w:pPr>
        <w:numPr>
          <w:ilvl w:val="0"/>
          <w:numId w:val="0"/>
        </w:numPr>
        <w:spacing w:line="360" w:lineRule="exact"/>
        <w:ind w:left="0" w:leftChars="0" w:firstLine="411" w:firstLineChars="196"/>
        <w:rPr>
          <w:rFonts w:hint="eastAsia" w:ascii="宋体" w:hAnsi="宋体"/>
          <w:color w:val="auto"/>
          <w:szCs w:val="21"/>
          <w:highlight w:val="none"/>
        </w:rPr>
      </w:pPr>
      <w:r>
        <w:rPr>
          <w:rFonts w:hint="eastAsia" w:ascii="宋体" w:hAnsi="宋体"/>
          <w:color w:val="auto"/>
          <w:szCs w:val="21"/>
          <w:highlight w:val="none"/>
        </w:rPr>
        <w:t>注：投标人如不满足上述强制性条件中的任何一条，将被认为资格审查不合格。</w:t>
      </w:r>
    </w:p>
    <w:p w14:paraId="771D7531">
      <w:pPr>
        <w:rPr>
          <w:color w:val="auto"/>
          <w:highlight w:val="none"/>
        </w:rPr>
      </w:pPr>
    </w:p>
    <w:p w14:paraId="0F3A6C6B">
      <w:pPr>
        <w:jc w:val="center"/>
        <w:rPr>
          <w:rFonts w:hint="eastAsia"/>
          <w:b/>
          <w:bCs/>
          <w:color w:val="auto"/>
          <w:sz w:val="28"/>
          <w:szCs w:val="32"/>
          <w:highlight w:val="none"/>
        </w:rPr>
      </w:pPr>
      <w:r>
        <w:rPr>
          <w:rFonts w:hint="eastAsia"/>
          <w:b/>
          <w:bCs/>
          <w:color w:val="auto"/>
          <w:sz w:val="28"/>
          <w:szCs w:val="32"/>
          <w:highlight w:val="none"/>
        </w:rPr>
        <w:br w:type="page"/>
      </w:r>
      <w:r>
        <w:rPr>
          <w:rFonts w:hint="eastAsia"/>
          <w:b/>
          <w:bCs/>
          <w:color w:val="auto"/>
          <w:sz w:val="28"/>
          <w:szCs w:val="32"/>
          <w:highlight w:val="none"/>
        </w:rPr>
        <w:t>二、资格审查强制性条件资料（人员）</w:t>
      </w:r>
    </w:p>
    <w:p w14:paraId="10E7A3E3">
      <w:pPr>
        <w:jc w:val="center"/>
        <w:rPr>
          <w:rFonts w:hint="eastAsia"/>
          <w:color w:val="auto"/>
          <w:highlight w:val="none"/>
        </w:rPr>
      </w:pPr>
      <w:r>
        <w:rPr>
          <w:rFonts w:hint="eastAsia"/>
          <w:color w:val="auto"/>
          <w:highlight w:val="none"/>
        </w:rPr>
        <w:t>（对投标人的主要人员的最低限度要求）</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4696"/>
        <w:gridCol w:w="1260"/>
        <w:gridCol w:w="2160"/>
      </w:tblGrid>
      <w:tr w14:paraId="5E98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noWrap w:val="0"/>
            <w:vAlign w:val="center"/>
          </w:tcPr>
          <w:p w14:paraId="7B4819FC">
            <w:pPr>
              <w:widowControl w:val="0"/>
              <w:jc w:val="center"/>
              <w:rPr>
                <w:rFonts w:hint="eastAsia" w:ascii="Calibri" w:hAnsi="Calibri" w:eastAsia="宋体"/>
                <w:b/>
                <w:bCs/>
                <w:color w:val="auto"/>
                <w:kern w:val="2"/>
                <w:sz w:val="21"/>
                <w:szCs w:val="22"/>
                <w:highlight w:val="none"/>
                <w:lang w:val="en-US" w:eastAsia="zh-CN" w:bidi="ar-SA"/>
              </w:rPr>
            </w:pPr>
            <w:r>
              <w:rPr>
                <w:rFonts w:hint="eastAsia" w:ascii="Calibri" w:hAnsi="Calibri" w:eastAsia="宋体"/>
                <w:b/>
                <w:bCs/>
                <w:color w:val="auto"/>
                <w:kern w:val="2"/>
                <w:sz w:val="21"/>
                <w:szCs w:val="22"/>
                <w:highlight w:val="none"/>
                <w:lang w:val="en-US" w:eastAsia="zh-CN" w:bidi="ar-SA"/>
              </w:rPr>
              <w:t>担任职务</w:t>
            </w:r>
          </w:p>
        </w:tc>
        <w:tc>
          <w:tcPr>
            <w:tcW w:w="4696" w:type="dxa"/>
            <w:noWrap w:val="0"/>
            <w:vAlign w:val="center"/>
          </w:tcPr>
          <w:p w14:paraId="7E4D88A2">
            <w:pPr>
              <w:widowControl w:val="0"/>
              <w:jc w:val="center"/>
              <w:rPr>
                <w:rFonts w:hint="eastAsia" w:ascii="Calibri" w:hAnsi="Calibri" w:eastAsia="宋体"/>
                <w:b/>
                <w:bCs/>
                <w:color w:val="auto"/>
                <w:kern w:val="2"/>
                <w:sz w:val="21"/>
                <w:szCs w:val="22"/>
                <w:highlight w:val="none"/>
                <w:lang w:val="en-US" w:eastAsia="zh-CN" w:bidi="ar-SA"/>
              </w:rPr>
            </w:pPr>
            <w:r>
              <w:rPr>
                <w:rFonts w:hint="eastAsia" w:ascii="Calibri" w:hAnsi="Calibri" w:eastAsia="宋体"/>
                <w:b/>
                <w:bCs/>
                <w:color w:val="auto"/>
                <w:kern w:val="2"/>
                <w:sz w:val="21"/>
                <w:szCs w:val="22"/>
                <w:highlight w:val="none"/>
                <w:lang w:val="en-US" w:eastAsia="zh-CN" w:bidi="ar-SA"/>
              </w:rPr>
              <w:t>资格要求</w:t>
            </w:r>
          </w:p>
        </w:tc>
        <w:tc>
          <w:tcPr>
            <w:tcW w:w="1260" w:type="dxa"/>
            <w:noWrap w:val="0"/>
            <w:vAlign w:val="center"/>
          </w:tcPr>
          <w:p w14:paraId="03687C50">
            <w:pPr>
              <w:widowControl w:val="0"/>
              <w:jc w:val="center"/>
              <w:rPr>
                <w:rFonts w:hint="eastAsia" w:ascii="Calibri" w:hAnsi="Calibri" w:eastAsia="宋体"/>
                <w:b/>
                <w:bCs/>
                <w:color w:val="auto"/>
                <w:kern w:val="2"/>
                <w:sz w:val="21"/>
                <w:szCs w:val="22"/>
                <w:highlight w:val="none"/>
                <w:lang w:val="en-US" w:eastAsia="zh-CN" w:bidi="ar-SA"/>
              </w:rPr>
            </w:pPr>
            <w:r>
              <w:rPr>
                <w:rFonts w:hint="eastAsia" w:ascii="Calibri" w:hAnsi="Calibri" w:eastAsia="宋体"/>
                <w:b/>
                <w:bCs/>
                <w:color w:val="auto"/>
                <w:kern w:val="2"/>
                <w:sz w:val="21"/>
                <w:szCs w:val="22"/>
                <w:highlight w:val="none"/>
                <w:lang w:val="en-US" w:eastAsia="zh-CN" w:bidi="ar-SA"/>
              </w:rPr>
              <w:t>数量要求</w:t>
            </w:r>
          </w:p>
        </w:tc>
        <w:tc>
          <w:tcPr>
            <w:tcW w:w="2160" w:type="dxa"/>
            <w:noWrap w:val="0"/>
            <w:vAlign w:val="center"/>
          </w:tcPr>
          <w:p w14:paraId="760492B1">
            <w:pPr>
              <w:widowControl w:val="0"/>
              <w:jc w:val="center"/>
              <w:rPr>
                <w:rFonts w:hint="eastAsia" w:ascii="Calibri" w:hAnsi="Calibri" w:eastAsia="宋体"/>
                <w:b/>
                <w:bCs/>
                <w:color w:val="auto"/>
                <w:kern w:val="2"/>
                <w:sz w:val="21"/>
                <w:szCs w:val="22"/>
                <w:highlight w:val="none"/>
                <w:lang w:val="en-US" w:eastAsia="zh-CN" w:bidi="ar-SA"/>
              </w:rPr>
            </w:pPr>
            <w:r>
              <w:rPr>
                <w:rFonts w:hint="eastAsia" w:ascii="Calibri" w:hAnsi="Calibri" w:eastAsia="宋体"/>
                <w:b/>
                <w:bCs/>
                <w:color w:val="auto"/>
                <w:kern w:val="2"/>
                <w:sz w:val="21"/>
                <w:szCs w:val="22"/>
                <w:highlight w:val="none"/>
                <w:lang w:val="en-US" w:eastAsia="zh-CN" w:bidi="ar-SA"/>
              </w:rPr>
              <w:t>主要人员</w:t>
            </w:r>
          </w:p>
          <w:p w14:paraId="0E45E19C">
            <w:pPr>
              <w:widowControl w:val="0"/>
              <w:jc w:val="center"/>
              <w:rPr>
                <w:rFonts w:hint="eastAsia" w:ascii="Calibri" w:hAnsi="Calibri" w:eastAsia="宋体"/>
                <w:b/>
                <w:bCs/>
                <w:color w:val="auto"/>
                <w:kern w:val="2"/>
                <w:sz w:val="21"/>
                <w:szCs w:val="22"/>
                <w:highlight w:val="none"/>
                <w:lang w:val="en-US" w:eastAsia="zh-CN" w:bidi="ar-SA"/>
              </w:rPr>
            </w:pPr>
            <w:r>
              <w:rPr>
                <w:rFonts w:hint="eastAsia" w:ascii="Calibri" w:hAnsi="Calibri" w:eastAsia="宋体"/>
                <w:b/>
                <w:bCs/>
                <w:color w:val="auto"/>
                <w:kern w:val="2"/>
                <w:sz w:val="21"/>
                <w:szCs w:val="22"/>
                <w:highlight w:val="none"/>
                <w:lang w:val="en-US" w:eastAsia="zh-CN" w:bidi="ar-SA"/>
              </w:rPr>
              <w:t>（由投标人填写）</w:t>
            </w:r>
          </w:p>
        </w:tc>
      </w:tr>
      <w:tr w14:paraId="714D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532" w:type="dxa"/>
            <w:noWrap w:val="0"/>
            <w:vAlign w:val="center"/>
          </w:tcPr>
          <w:p w14:paraId="25C10766">
            <w:pPr>
              <w:widowControl w:val="0"/>
              <w:jc w:val="both"/>
              <w:rPr>
                <w:rFonts w:hint="eastAsia" w:ascii="Calibri" w:hAnsi="Calibri" w:eastAsia="宋体"/>
                <w:color w:val="auto"/>
                <w:kern w:val="2"/>
                <w:sz w:val="21"/>
                <w:szCs w:val="22"/>
                <w:highlight w:val="none"/>
                <w:lang w:val="en-US" w:eastAsia="zh-CN" w:bidi="ar-SA"/>
              </w:rPr>
            </w:pPr>
            <w:r>
              <w:rPr>
                <w:rFonts w:hint="eastAsia" w:ascii="Calibri" w:hAnsi="Calibri" w:eastAsia="宋体"/>
                <w:color w:val="auto"/>
                <w:kern w:val="2"/>
                <w:sz w:val="21"/>
                <w:szCs w:val="22"/>
                <w:highlight w:val="none"/>
                <w:lang w:val="en-US" w:eastAsia="zh-CN" w:bidi="ar-SA"/>
              </w:rPr>
              <w:t>项目负责人</w:t>
            </w:r>
          </w:p>
        </w:tc>
        <w:tc>
          <w:tcPr>
            <w:tcW w:w="4696" w:type="dxa"/>
            <w:noWrap w:val="0"/>
            <w:vAlign w:val="center"/>
          </w:tcPr>
          <w:p w14:paraId="4B2728D5">
            <w:pPr>
              <w:widowControl w:val="0"/>
              <w:jc w:val="both"/>
              <w:rPr>
                <w:rFonts w:hint="eastAsia" w:ascii="Calibri" w:hAnsi="Calibri" w:eastAsia="宋体"/>
                <w:color w:val="auto"/>
                <w:kern w:val="2"/>
                <w:sz w:val="21"/>
                <w:szCs w:val="22"/>
                <w:highlight w:val="none"/>
                <w:lang w:val="en-US" w:eastAsia="zh-CN" w:bidi="ar-SA"/>
              </w:rPr>
            </w:pPr>
            <w:r>
              <w:rPr>
                <w:rFonts w:hint="eastAsia" w:eastAsia="宋体"/>
                <w:color w:val="auto"/>
                <w:kern w:val="2"/>
                <w:sz w:val="21"/>
                <w:szCs w:val="22"/>
                <w:highlight w:val="none"/>
                <w:lang w:val="en-US" w:eastAsia="zh-CN" w:bidi="ar-SA"/>
              </w:rPr>
              <w:t>不作强制性要求</w:t>
            </w:r>
          </w:p>
        </w:tc>
        <w:tc>
          <w:tcPr>
            <w:tcW w:w="1260" w:type="dxa"/>
            <w:noWrap w:val="0"/>
            <w:vAlign w:val="center"/>
          </w:tcPr>
          <w:p w14:paraId="22F2BFEF">
            <w:pPr>
              <w:widowControl w:val="0"/>
              <w:jc w:val="both"/>
              <w:rPr>
                <w:rFonts w:hint="eastAsia" w:ascii="Calibri" w:hAnsi="Calibri" w:eastAsia="宋体"/>
                <w:color w:val="auto"/>
                <w:kern w:val="2"/>
                <w:sz w:val="21"/>
                <w:szCs w:val="22"/>
                <w:highlight w:val="none"/>
                <w:lang w:val="en-US" w:eastAsia="zh-CN" w:bidi="ar-SA"/>
              </w:rPr>
            </w:pPr>
          </w:p>
          <w:p w14:paraId="0F0A4432">
            <w:pPr>
              <w:widowControl w:val="0"/>
              <w:jc w:val="both"/>
              <w:rPr>
                <w:rFonts w:hint="eastAsia" w:ascii="Calibri" w:hAnsi="Calibri" w:eastAsia="宋体"/>
                <w:color w:val="auto"/>
                <w:kern w:val="2"/>
                <w:sz w:val="21"/>
                <w:szCs w:val="22"/>
                <w:highlight w:val="none"/>
                <w:lang w:val="en-US" w:eastAsia="zh-CN" w:bidi="ar-SA"/>
              </w:rPr>
            </w:pPr>
          </w:p>
          <w:p w14:paraId="11418124">
            <w:pPr>
              <w:widowControl w:val="0"/>
              <w:jc w:val="both"/>
              <w:rPr>
                <w:rFonts w:hint="eastAsia" w:ascii="Calibri" w:hAnsi="Calibri" w:eastAsia="宋体"/>
                <w:color w:val="auto"/>
                <w:kern w:val="2"/>
                <w:sz w:val="21"/>
                <w:szCs w:val="22"/>
                <w:highlight w:val="none"/>
                <w:lang w:val="en-US" w:eastAsia="zh-CN" w:bidi="ar-SA"/>
              </w:rPr>
            </w:pPr>
          </w:p>
          <w:p w14:paraId="63F00FCE">
            <w:pPr>
              <w:widowControl w:val="0"/>
              <w:jc w:val="both"/>
              <w:rPr>
                <w:rFonts w:hint="eastAsia" w:ascii="Calibri" w:hAnsi="Calibri" w:eastAsia="宋体"/>
                <w:b/>
                <w:bCs/>
                <w:color w:val="auto"/>
                <w:kern w:val="2"/>
                <w:sz w:val="21"/>
                <w:szCs w:val="22"/>
                <w:highlight w:val="none"/>
                <w:lang w:val="en-US" w:eastAsia="zh-CN" w:bidi="ar-SA"/>
              </w:rPr>
            </w:pPr>
            <w:r>
              <w:rPr>
                <w:rFonts w:hint="eastAsia" w:ascii="Calibri" w:hAnsi="Calibri" w:eastAsia="宋体"/>
                <w:b/>
                <w:bCs/>
                <w:color w:val="auto"/>
                <w:kern w:val="2"/>
                <w:sz w:val="21"/>
                <w:szCs w:val="22"/>
                <w:highlight w:val="none"/>
                <w:lang w:val="en-US" w:eastAsia="zh-CN" w:bidi="ar-SA"/>
              </w:rPr>
              <w:t>1人</w:t>
            </w:r>
          </w:p>
          <w:p w14:paraId="1D3E7B62">
            <w:pPr>
              <w:widowControl w:val="0"/>
              <w:jc w:val="both"/>
              <w:rPr>
                <w:rFonts w:hint="eastAsia" w:ascii="Calibri" w:hAnsi="Calibri" w:eastAsia="宋体"/>
                <w:color w:val="auto"/>
                <w:kern w:val="2"/>
                <w:sz w:val="21"/>
                <w:szCs w:val="22"/>
                <w:highlight w:val="none"/>
                <w:lang w:val="en-US" w:eastAsia="zh-CN" w:bidi="ar-SA"/>
              </w:rPr>
            </w:pPr>
          </w:p>
          <w:p w14:paraId="2F1EAA04">
            <w:pPr>
              <w:widowControl w:val="0"/>
              <w:jc w:val="both"/>
              <w:rPr>
                <w:rFonts w:hint="eastAsia" w:ascii="Calibri" w:hAnsi="Calibri" w:eastAsia="宋体"/>
                <w:color w:val="auto"/>
                <w:kern w:val="2"/>
                <w:sz w:val="21"/>
                <w:szCs w:val="22"/>
                <w:highlight w:val="none"/>
                <w:lang w:val="en-US" w:eastAsia="zh-CN" w:bidi="ar-SA"/>
              </w:rPr>
            </w:pPr>
          </w:p>
          <w:p w14:paraId="1F5213F2">
            <w:pPr>
              <w:widowControl w:val="0"/>
              <w:jc w:val="both"/>
              <w:rPr>
                <w:rFonts w:hint="eastAsia" w:ascii="Calibri" w:hAnsi="Calibri" w:eastAsia="宋体"/>
                <w:color w:val="auto"/>
                <w:kern w:val="2"/>
                <w:sz w:val="21"/>
                <w:szCs w:val="22"/>
                <w:highlight w:val="none"/>
                <w:lang w:val="en-US" w:eastAsia="zh-CN" w:bidi="ar-SA"/>
              </w:rPr>
            </w:pPr>
          </w:p>
        </w:tc>
        <w:tc>
          <w:tcPr>
            <w:tcW w:w="2160" w:type="dxa"/>
            <w:noWrap w:val="0"/>
            <w:vAlign w:val="center"/>
          </w:tcPr>
          <w:p w14:paraId="3F7C62CC">
            <w:pPr>
              <w:widowControl w:val="0"/>
              <w:jc w:val="both"/>
              <w:rPr>
                <w:rFonts w:hint="eastAsia" w:ascii="Calibri" w:hAnsi="Calibri" w:eastAsia="宋体"/>
                <w:color w:val="auto"/>
                <w:kern w:val="2"/>
                <w:sz w:val="21"/>
                <w:szCs w:val="22"/>
                <w:highlight w:val="none"/>
                <w:lang w:val="en-US" w:eastAsia="zh-CN" w:bidi="ar-SA"/>
              </w:rPr>
            </w:pPr>
            <w:r>
              <w:rPr>
                <w:rFonts w:hint="eastAsia" w:ascii="Calibri" w:hAnsi="Calibri" w:eastAsia="宋体"/>
                <w:color w:val="auto"/>
                <w:kern w:val="2"/>
                <w:sz w:val="21"/>
                <w:szCs w:val="22"/>
                <w:highlight w:val="none"/>
                <w:lang w:val="en-US" w:eastAsia="zh-CN" w:bidi="ar-SA"/>
              </w:rPr>
              <w:t>姓名：</w:t>
            </w:r>
          </w:p>
        </w:tc>
      </w:tr>
    </w:tbl>
    <w:p w14:paraId="64112F26">
      <w:pPr>
        <w:rPr>
          <w:rFonts w:hint="eastAsia"/>
          <w:color w:val="auto"/>
          <w:highlight w:val="none"/>
        </w:rPr>
      </w:pPr>
      <w:r>
        <w:rPr>
          <w:rFonts w:hint="eastAsia"/>
          <w:color w:val="auto"/>
          <w:highlight w:val="none"/>
        </w:rPr>
        <w:t>注：投标人如不满足上述强制性条件中的任何一条，将被认为资格审查不合格。</w:t>
      </w:r>
    </w:p>
    <w:p w14:paraId="019827FC">
      <w:pPr>
        <w:keepNext/>
        <w:keepLines/>
        <w:tabs>
          <w:tab w:val="left" w:pos="2520"/>
        </w:tabs>
        <w:spacing w:before="260" w:after="260" w:line="410" w:lineRule="auto"/>
        <w:ind w:firstLine="0" w:firstLineChars="0"/>
        <w:jc w:val="center"/>
        <w:outlineLvl w:val="2"/>
        <w:rPr>
          <w:rFonts w:hint="eastAsia" w:ascii="黑体" w:eastAsia="黑体" w:cs="宋体"/>
          <w:color w:val="auto"/>
          <w:sz w:val="28"/>
          <w:szCs w:val="20"/>
          <w:highlight w:val="none"/>
        </w:rPr>
      </w:pPr>
      <w:r>
        <w:rPr>
          <w:rFonts w:hint="eastAsia" w:ascii="黑体" w:eastAsia="黑体" w:cs="宋体"/>
          <w:b/>
          <w:color w:val="auto"/>
          <w:sz w:val="28"/>
          <w:szCs w:val="20"/>
          <w:highlight w:val="none"/>
        </w:rPr>
        <w:br w:type="page"/>
      </w:r>
      <w:bookmarkStart w:id="97" w:name="_Toc437961109"/>
      <w:r>
        <w:rPr>
          <w:rFonts w:hint="eastAsia" w:ascii="黑体" w:eastAsia="黑体" w:cs="宋体"/>
          <w:b/>
          <w:color w:val="auto"/>
          <w:sz w:val="28"/>
          <w:szCs w:val="20"/>
          <w:highlight w:val="none"/>
          <w:lang w:val="en-US" w:eastAsia="zh-CN"/>
        </w:rPr>
        <w:t>三</w:t>
      </w:r>
      <w:r>
        <w:rPr>
          <w:rFonts w:hint="eastAsia" w:ascii="黑体" w:eastAsia="黑体" w:cs="宋体"/>
          <w:b/>
          <w:color w:val="auto"/>
          <w:sz w:val="28"/>
          <w:szCs w:val="20"/>
          <w:highlight w:val="none"/>
        </w:rPr>
        <w:t>、法定代表人身份证明</w:t>
      </w:r>
      <w:bookmarkEnd w:id="97"/>
    </w:p>
    <w:p w14:paraId="4CDC1E9F">
      <w:pPr>
        <w:spacing w:line="400" w:lineRule="exact"/>
        <w:rPr>
          <w:rFonts w:hint="eastAsia" w:ascii="宋体" w:hAnsi="宋体"/>
          <w:color w:val="auto"/>
          <w:sz w:val="24"/>
          <w:highlight w:val="none"/>
        </w:rPr>
      </w:pPr>
    </w:p>
    <w:p w14:paraId="60EFD8AB">
      <w:pPr>
        <w:tabs>
          <w:tab w:val="left" w:pos="4068"/>
        </w:tabs>
        <w:spacing w:after="120"/>
        <w:ind w:left="240"/>
        <w:rPr>
          <w:rFonts w:hint="eastAsia" w:ascii="宋体" w:hAnsi="宋体" w:cs="宋体"/>
          <w:color w:val="auto"/>
          <w:sz w:val="24"/>
          <w:szCs w:val="24"/>
          <w:highlight w:val="none"/>
        </w:rPr>
      </w:pPr>
      <w:r>
        <w:rPr>
          <w:rFonts w:hint="eastAsia" w:ascii="宋体" w:hAnsi="宋体" w:cs="宋体"/>
          <w:color w:val="auto"/>
          <w:spacing w:val="-1"/>
          <w:sz w:val="24"/>
          <w:szCs w:val="24"/>
          <w:highlight w:val="none"/>
        </w:rPr>
        <w:t>投</w:t>
      </w:r>
      <w:r>
        <w:rPr>
          <w:rFonts w:hint="eastAsia" w:ascii="宋体" w:hAnsi="宋体" w:cs="宋体"/>
          <w:color w:val="auto"/>
          <w:sz w:val="24"/>
          <w:szCs w:val="24"/>
          <w:highlight w:val="none"/>
        </w:rPr>
        <w:t>标</w:t>
      </w:r>
      <w:r>
        <w:rPr>
          <w:rFonts w:hint="eastAsia" w:ascii="宋体" w:hAnsi="宋体" w:cs="宋体"/>
          <w:color w:val="auto"/>
          <w:spacing w:val="-3"/>
          <w:sz w:val="24"/>
          <w:szCs w:val="24"/>
          <w:highlight w:val="none"/>
        </w:rPr>
        <w:t>人</w:t>
      </w:r>
      <w:r>
        <w:rPr>
          <w:rFonts w:hint="eastAsia" w:ascii="宋体" w:hAnsi="宋体" w:cs="宋体"/>
          <w:color w:val="auto"/>
          <w:sz w:val="24"/>
          <w:szCs w:val="24"/>
          <w:highlight w:val="none"/>
        </w:rPr>
        <w:t>名</w:t>
      </w:r>
      <w:r>
        <w:rPr>
          <w:rFonts w:hint="eastAsia" w:ascii="宋体" w:hAnsi="宋体" w:cs="宋体"/>
          <w:color w:val="auto"/>
          <w:spacing w:val="-3"/>
          <w:sz w:val="24"/>
          <w:szCs w:val="24"/>
          <w:highlight w:val="none"/>
        </w:rPr>
        <w:t>称</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ab/>
      </w:r>
    </w:p>
    <w:p w14:paraId="39BE0F1F">
      <w:pPr>
        <w:tabs>
          <w:tab w:val="left" w:pos="2552"/>
          <w:tab w:val="left" w:pos="4023"/>
          <w:tab w:val="left" w:pos="5492"/>
          <w:tab w:val="left" w:pos="7009"/>
        </w:tabs>
        <w:spacing w:before="170" w:after="120"/>
        <w:ind w:left="24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姓名</w:t>
      </w:r>
      <w:r>
        <w:rPr>
          <w:rFonts w:hint="eastAsia" w:ascii="宋体" w:hAnsi="宋体" w:cs="宋体"/>
          <w:color w:val="auto"/>
          <w:spacing w:val="-3"/>
          <w:sz w:val="24"/>
          <w:szCs w:val="24"/>
          <w:highlight w:val="none"/>
        </w:rPr>
        <w:t>：</w:t>
      </w:r>
      <w:r>
        <w:rPr>
          <w:rFonts w:hint="eastAsia" w:ascii="宋体" w:hAnsi="宋体" w:cs="宋体"/>
          <w:color w:val="auto"/>
          <w:spacing w:val="-3"/>
          <w:sz w:val="24"/>
          <w:szCs w:val="24"/>
          <w:highlight w:val="none"/>
          <w:u w:val="single"/>
        </w:rPr>
        <w:t xml:space="preserve"> </w:t>
      </w:r>
      <w:r>
        <w:rPr>
          <w:rFonts w:hint="eastAsia" w:ascii="宋体" w:hAnsi="宋体" w:cs="宋体"/>
          <w:color w:val="auto"/>
          <w:spacing w:val="-3"/>
          <w:sz w:val="24"/>
          <w:szCs w:val="24"/>
          <w:highlight w:val="none"/>
          <w:u w:val="single"/>
        </w:rPr>
        <w:tab/>
      </w:r>
      <w:r>
        <w:rPr>
          <w:rFonts w:hint="eastAsia" w:ascii="宋体" w:hAnsi="宋体" w:cs="宋体"/>
          <w:color w:val="auto"/>
          <w:sz w:val="24"/>
          <w:szCs w:val="24"/>
          <w:highlight w:val="none"/>
        </w:rPr>
        <w:t>性别</w:t>
      </w:r>
      <w:r>
        <w:rPr>
          <w:rFonts w:hint="eastAsia" w:ascii="宋体" w:hAnsi="宋体" w:cs="宋体"/>
          <w:color w:val="auto"/>
          <w:spacing w:val="-3"/>
          <w:sz w:val="24"/>
          <w:szCs w:val="24"/>
          <w:highlight w:val="none"/>
        </w:rPr>
        <w:t>：</w:t>
      </w:r>
      <w:r>
        <w:rPr>
          <w:rFonts w:hint="eastAsia" w:ascii="宋体" w:hAnsi="宋体" w:cs="宋体"/>
          <w:color w:val="auto"/>
          <w:spacing w:val="-3"/>
          <w:sz w:val="24"/>
          <w:szCs w:val="24"/>
          <w:highlight w:val="none"/>
          <w:u w:val="single"/>
        </w:rPr>
        <w:t xml:space="preserve"> </w:t>
      </w:r>
      <w:r>
        <w:rPr>
          <w:rFonts w:hint="eastAsia" w:ascii="宋体" w:hAnsi="宋体" w:cs="宋体"/>
          <w:color w:val="auto"/>
          <w:spacing w:val="-3"/>
          <w:sz w:val="24"/>
          <w:szCs w:val="24"/>
          <w:highlight w:val="none"/>
          <w:u w:val="single"/>
        </w:rPr>
        <w:tab/>
      </w:r>
      <w:r>
        <w:rPr>
          <w:rFonts w:hint="eastAsia" w:ascii="宋体" w:hAnsi="宋体" w:cs="宋体"/>
          <w:color w:val="auto"/>
          <w:sz w:val="24"/>
          <w:szCs w:val="24"/>
          <w:highlight w:val="none"/>
        </w:rPr>
        <w:t>年</w:t>
      </w:r>
      <w:r>
        <w:rPr>
          <w:rFonts w:hint="eastAsia" w:ascii="宋体" w:hAnsi="宋体" w:cs="宋体"/>
          <w:color w:val="auto"/>
          <w:spacing w:val="-3"/>
          <w:sz w:val="24"/>
          <w:szCs w:val="24"/>
          <w:highlight w:val="none"/>
        </w:rPr>
        <w:t>龄</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ab/>
      </w:r>
      <w:r>
        <w:rPr>
          <w:rFonts w:hint="eastAsia" w:ascii="宋体" w:hAnsi="宋体" w:cs="宋体"/>
          <w:color w:val="auto"/>
          <w:spacing w:val="-1"/>
          <w:sz w:val="24"/>
          <w:szCs w:val="24"/>
          <w:highlight w:val="none"/>
        </w:rPr>
        <w:t>职</w:t>
      </w:r>
      <w:r>
        <w:rPr>
          <w:rFonts w:hint="eastAsia" w:ascii="宋体" w:hAnsi="宋体" w:cs="宋体"/>
          <w:color w:val="auto"/>
          <w:spacing w:val="-3"/>
          <w:sz w:val="24"/>
          <w:szCs w:val="24"/>
          <w:highlight w:val="none"/>
        </w:rPr>
        <w:t>务</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ab/>
      </w:r>
    </w:p>
    <w:p w14:paraId="3AA7B07C">
      <w:pPr>
        <w:tabs>
          <w:tab w:val="left" w:pos="2552"/>
          <w:tab w:val="left" w:pos="4023"/>
          <w:tab w:val="left" w:pos="5492"/>
          <w:tab w:val="left" w:pos="7009"/>
        </w:tabs>
        <w:spacing w:before="170" w:after="120"/>
        <w:ind w:left="240"/>
        <w:rPr>
          <w:rFonts w:ascii="宋体" w:hAnsi="宋体" w:cs="宋体"/>
          <w:color w:val="auto"/>
          <w:sz w:val="24"/>
          <w:szCs w:val="24"/>
          <w:highlight w:val="none"/>
          <w:u w:val="single"/>
        </w:rPr>
      </w:pPr>
      <w:r>
        <w:rPr>
          <w:rFonts w:hint="eastAsia" w:ascii="宋体" w:hAnsi="宋体" w:cs="宋体"/>
          <w:color w:val="auto"/>
          <w:sz w:val="24"/>
          <w:szCs w:val="24"/>
          <w:highlight w:val="none"/>
        </w:rPr>
        <w:t>身份证号码：</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联系电话（手机）：</w:t>
      </w:r>
      <w:r>
        <w:rPr>
          <w:rFonts w:hint="eastAsia" w:ascii="宋体" w:hAnsi="宋体" w:cs="宋体"/>
          <w:color w:val="auto"/>
          <w:sz w:val="24"/>
          <w:szCs w:val="24"/>
          <w:highlight w:val="none"/>
          <w:u w:val="single"/>
        </w:rPr>
        <w:t xml:space="preserve">              </w:t>
      </w:r>
    </w:p>
    <w:p w14:paraId="617F8616">
      <w:pPr>
        <w:tabs>
          <w:tab w:val="left" w:pos="2972"/>
        </w:tabs>
        <w:spacing w:before="173" w:after="120"/>
        <w:ind w:left="240"/>
        <w:rPr>
          <w:rFonts w:hint="eastAsia" w:ascii="宋体" w:hAnsi="宋体" w:cs="宋体"/>
          <w:color w:val="auto"/>
          <w:sz w:val="24"/>
          <w:szCs w:val="24"/>
          <w:highlight w:val="none"/>
        </w:rPr>
      </w:pPr>
      <w:r>
        <w:rPr>
          <w:rFonts w:hint="eastAsia" w:ascii="宋体" w:hAnsi="宋体" w:cs="宋体"/>
          <w:color w:val="auto"/>
          <w:sz w:val="24"/>
          <w:szCs w:val="24"/>
          <w:highlight w:val="none"/>
        </w:rPr>
        <w:t>系</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ab/>
      </w:r>
      <w:r>
        <w:rPr>
          <w:rFonts w:hint="eastAsia" w:ascii="宋体" w:hAnsi="宋体" w:cs="宋体"/>
          <w:color w:val="auto"/>
          <w:spacing w:val="-3"/>
          <w:sz w:val="24"/>
          <w:szCs w:val="24"/>
          <w:highlight w:val="none"/>
        </w:rPr>
        <w:t>（</w:t>
      </w:r>
      <w:r>
        <w:rPr>
          <w:rFonts w:hint="eastAsia" w:ascii="宋体" w:hAnsi="宋体" w:cs="宋体"/>
          <w:color w:val="auto"/>
          <w:sz w:val="24"/>
          <w:szCs w:val="24"/>
          <w:highlight w:val="none"/>
        </w:rPr>
        <w:t>投</w:t>
      </w:r>
      <w:r>
        <w:rPr>
          <w:rFonts w:hint="eastAsia" w:ascii="宋体" w:hAnsi="宋体" w:cs="宋体"/>
          <w:color w:val="auto"/>
          <w:spacing w:val="-3"/>
          <w:sz w:val="24"/>
          <w:szCs w:val="24"/>
          <w:highlight w:val="none"/>
        </w:rPr>
        <w:t>标</w:t>
      </w:r>
      <w:r>
        <w:rPr>
          <w:rFonts w:hint="eastAsia" w:ascii="宋体" w:hAnsi="宋体" w:cs="宋体"/>
          <w:color w:val="auto"/>
          <w:sz w:val="24"/>
          <w:szCs w:val="24"/>
          <w:highlight w:val="none"/>
        </w:rPr>
        <w:t>人</w:t>
      </w:r>
      <w:r>
        <w:rPr>
          <w:rFonts w:hint="eastAsia" w:ascii="宋体" w:hAnsi="宋体" w:cs="宋体"/>
          <w:color w:val="auto"/>
          <w:spacing w:val="-3"/>
          <w:sz w:val="24"/>
          <w:szCs w:val="24"/>
          <w:highlight w:val="none"/>
        </w:rPr>
        <w:t>名</w:t>
      </w:r>
      <w:r>
        <w:rPr>
          <w:rFonts w:hint="eastAsia" w:ascii="宋体" w:hAnsi="宋体" w:cs="宋体"/>
          <w:color w:val="auto"/>
          <w:sz w:val="24"/>
          <w:szCs w:val="24"/>
          <w:highlight w:val="none"/>
        </w:rPr>
        <w:t>称</w:t>
      </w:r>
      <w:r>
        <w:rPr>
          <w:rFonts w:hint="eastAsia" w:ascii="宋体" w:hAnsi="宋体" w:cs="宋体"/>
          <w:color w:val="auto"/>
          <w:spacing w:val="-3"/>
          <w:sz w:val="24"/>
          <w:szCs w:val="24"/>
          <w:highlight w:val="none"/>
        </w:rPr>
        <w:t>）</w:t>
      </w:r>
      <w:r>
        <w:rPr>
          <w:rFonts w:hint="eastAsia" w:ascii="宋体" w:hAnsi="宋体" w:cs="宋体"/>
          <w:color w:val="auto"/>
          <w:sz w:val="24"/>
          <w:szCs w:val="24"/>
          <w:highlight w:val="none"/>
        </w:rPr>
        <w:t>的</w:t>
      </w:r>
      <w:r>
        <w:rPr>
          <w:rFonts w:hint="eastAsia" w:ascii="宋体" w:hAnsi="宋体" w:cs="宋体"/>
          <w:color w:val="auto"/>
          <w:spacing w:val="-3"/>
          <w:sz w:val="24"/>
          <w:szCs w:val="24"/>
          <w:highlight w:val="none"/>
        </w:rPr>
        <w:t>法定</w:t>
      </w:r>
      <w:r>
        <w:rPr>
          <w:rFonts w:hint="eastAsia" w:ascii="宋体" w:hAnsi="宋体" w:cs="宋体"/>
          <w:color w:val="auto"/>
          <w:sz w:val="24"/>
          <w:szCs w:val="24"/>
          <w:highlight w:val="none"/>
        </w:rPr>
        <w:t>代表</w:t>
      </w:r>
      <w:r>
        <w:rPr>
          <w:rFonts w:hint="eastAsia" w:ascii="宋体" w:hAnsi="宋体" w:cs="宋体"/>
          <w:color w:val="auto"/>
          <w:spacing w:val="-3"/>
          <w:sz w:val="24"/>
          <w:szCs w:val="24"/>
          <w:highlight w:val="none"/>
        </w:rPr>
        <w:t>人</w:t>
      </w:r>
      <w:r>
        <w:rPr>
          <w:rFonts w:hint="eastAsia" w:ascii="宋体" w:hAnsi="宋体" w:cs="宋体"/>
          <w:color w:val="auto"/>
          <w:sz w:val="24"/>
          <w:szCs w:val="24"/>
          <w:highlight w:val="none"/>
        </w:rPr>
        <w:t>。</w:t>
      </w:r>
    </w:p>
    <w:p w14:paraId="3462A325">
      <w:pPr>
        <w:tabs>
          <w:tab w:val="left" w:pos="2972"/>
        </w:tabs>
        <w:spacing w:before="173" w:after="120"/>
        <w:ind w:left="24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特此证明。</w:t>
      </w:r>
    </w:p>
    <w:p w14:paraId="5B9FEDD0">
      <w:pPr>
        <w:tabs>
          <w:tab w:val="left" w:pos="2972"/>
        </w:tabs>
        <w:spacing w:before="173" w:after="120"/>
        <w:ind w:left="240"/>
        <w:rPr>
          <w:rFonts w:hint="eastAsia" w:ascii="宋体" w:hAnsi="宋体" w:cs="宋体"/>
          <w:color w:val="auto"/>
          <w:sz w:val="24"/>
          <w:szCs w:val="24"/>
          <w:highlight w:val="none"/>
        </w:rPr>
      </w:pPr>
    </w:p>
    <w:p w14:paraId="3ACD0B48">
      <w:pPr>
        <w:spacing w:after="120"/>
        <w:ind w:left="240"/>
        <w:rPr>
          <w:color w:val="auto"/>
          <w:sz w:val="24"/>
          <w:szCs w:val="24"/>
          <w:highlight w:val="none"/>
        </w:rPr>
      </w:pPr>
      <w:r>
        <w:rPr>
          <w:color w:val="auto"/>
          <w:sz w:val="24"/>
          <w:szCs w:val="24"/>
          <w:highlight w:val="none"/>
        </w:rPr>
        <w:t>附：法定代表人身份证</w:t>
      </w:r>
      <w:r>
        <w:rPr>
          <w:rFonts w:hint="eastAsia"/>
          <w:color w:val="auto"/>
          <w:sz w:val="24"/>
          <w:szCs w:val="24"/>
          <w:highlight w:val="none"/>
        </w:rPr>
        <w:t>原件扫描件</w:t>
      </w:r>
    </w:p>
    <w:p w14:paraId="6686DD62">
      <w:pPr>
        <w:spacing w:before="12" w:after="120"/>
        <w:rPr>
          <w:color w:val="auto"/>
          <w:sz w:val="24"/>
          <w:szCs w:val="24"/>
          <w:highlight w:val="none"/>
        </w:rPr>
      </w:pPr>
    </w:p>
    <w:p w14:paraId="737C3143">
      <w:pPr>
        <w:tabs>
          <w:tab w:val="left" w:pos="6661"/>
        </w:tabs>
        <w:spacing w:before="79" w:after="120"/>
        <w:ind w:left="4352"/>
        <w:rPr>
          <w:color w:val="auto"/>
          <w:sz w:val="24"/>
          <w:szCs w:val="24"/>
          <w:highlight w:val="none"/>
        </w:rPr>
      </w:pPr>
      <w:r>
        <w:rPr>
          <w:color w:val="auto"/>
          <w:spacing w:val="-3"/>
          <w:sz w:val="24"/>
          <w:szCs w:val="24"/>
          <w:highlight w:val="none"/>
        </w:rPr>
        <w:t>投</w:t>
      </w:r>
      <w:r>
        <w:rPr>
          <w:color w:val="auto"/>
          <w:sz w:val="24"/>
          <w:szCs w:val="24"/>
          <w:highlight w:val="none"/>
        </w:rPr>
        <w:t>标</w:t>
      </w:r>
      <w:r>
        <w:rPr>
          <w:color w:val="auto"/>
          <w:spacing w:val="-3"/>
          <w:sz w:val="24"/>
          <w:szCs w:val="24"/>
          <w:highlight w:val="none"/>
        </w:rPr>
        <w:t>人</w:t>
      </w:r>
      <w:r>
        <w:rPr>
          <w:color w:val="auto"/>
          <w:sz w:val="24"/>
          <w:szCs w:val="24"/>
          <w:highlight w:val="none"/>
        </w:rPr>
        <w:t>：</w:t>
      </w:r>
      <w:r>
        <w:rPr>
          <w:color w:val="auto"/>
          <w:sz w:val="24"/>
          <w:szCs w:val="24"/>
          <w:highlight w:val="none"/>
          <w:u w:val="single"/>
        </w:rPr>
        <w:t xml:space="preserve"> </w:t>
      </w:r>
      <w:r>
        <w:rPr>
          <w:color w:val="auto"/>
          <w:sz w:val="24"/>
          <w:szCs w:val="24"/>
          <w:highlight w:val="none"/>
          <w:u w:val="single"/>
        </w:rPr>
        <w:tab/>
      </w:r>
      <w:r>
        <w:rPr>
          <w:color w:val="auto"/>
          <w:sz w:val="24"/>
          <w:szCs w:val="24"/>
          <w:highlight w:val="none"/>
        </w:rPr>
        <w:t>（盖</w:t>
      </w:r>
      <w:r>
        <w:rPr>
          <w:rFonts w:hint="eastAsia"/>
          <w:color w:val="auto"/>
          <w:spacing w:val="-3"/>
          <w:sz w:val="24"/>
          <w:szCs w:val="24"/>
          <w:highlight w:val="none"/>
        </w:rPr>
        <w:t>公</w:t>
      </w:r>
      <w:r>
        <w:rPr>
          <w:color w:val="auto"/>
          <w:spacing w:val="-3"/>
          <w:sz w:val="24"/>
          <w:szCs w:val="24"/>
          <w:highlight w:val="none"/>
        </w:rPr>
        <w:t>章</w:t>
      </w:r>
      <w:r>
        <w:rPr>
          <w:color w:val="auto"/>
          <w:sz w:val="24"/>
          <w:szCs w:val="24"/>
          <w:highlight w:val="none"/>
        </w:rPr>
        <w:t>）</w:t>
      </w:r>
    </w:p>
    <w:p w14:paraId="7F8226CA">
      <w:pPr>
        <w:spacing w:before="1" w:after="120"/>
        <w:rPr>
          <w:color w:val="auto"/>
          <w:sz w:val="24"/>
          <w:szCs w:val="24"/>
          <w:highlight w:val="none"/>
        </w:rPr>
      </w:pPr>
    </w:p>
    <w:p w14:paraId="4B8462C8">
      <w:pPr>
        <w:tabs>
          <w:tab w:val="left" w:pos="5492"/>
          <w:tab w:val="left" w:pos="6332"/>
          <w:tab w:val="left" w:pos="7172"/>
        </w:tabs>
        <w:spacing w:before="72" w:after="120"/>
        <w:ind w:left="4861"/>
        <w:rPr>
          <w:rFonts w:hint="eastAsia" w:ascii="宋体" w:hAnsi="宋体"/>
          <w:color w:val="auto"/>
          <w:sz w:val="24"/>
          <w:highlight w:val="none"/>
        </w:rPr>
      </w:pPr>
      <w:r>
        <w:rPr>
          <w:rFonts w:ascii="Times New Roman" w:eastAsia="Times New Roman"/>
          <w:color w:val="auto"/>
          <w:sz w:val="24"/>
          <w:szCs w:val="24"/>
          <w:highlight w:val="none"/>
          <w:u w:val="single"/>
        </w:rPr>
        <w:t xml:space="preserve"> </w:t>
      </w:r>
      <w:r>
        <w:rPr>
          <w:rFonts w:ascii="Times New Roman" w:eastAsia="Times New Roman"/>
          <w:color w:val="auto"/>
          <w:sz w:val="24"/>
          <w:szCs w:val="24"/>
          <w:highlight w:val="none"/>
          <w:u w:val="single"/>
        </w:rPr>
        <w:tab/>
      </w:r>
      <w:r>
        <w:rPr>
          <w:color w:val="auto"/>
          <w:sz w:val="24"/>
          <w:szCs w:val="24"/>
          <w:highlight w:val="none"/>
        </w:rPr>
        <w:t>年</w:t>
      </w:r>
      <w:r>
        <w:rPr>
          <w:color w:val="auto"/>
          <w:sz w:val="24"/>
          <w:szCs w:val="24"/>
          <w:highlight w:val="none"/>
          <w:u w:val="single"/>
        </w:rPr>
        <w:t xml:space="preserve"> </w:t>
      </w:r>
      <w:r>
        <w:rPr>
          <w:color w:val="auto"/>
          <w:sz w:val="24"/>
          <w:szCs w:val="24"/>
          <w:highlight w:val="none"/>
          <w:u w:val="single"/>
        </w:rPr>
        <w:tab/>
      </w:r>
      <w:r>
        <w:rPr>
          <w:color w:val="auto"/>
          <w:sz w:val="24"/>
          <w:szCs w:val="24"/>
          <w:highlight w:val="none"/>
        </w:rPr>
        <w:t>月</w:t>
      </w:r>
      <w:r>
        <w:rPr>
          <w:color w:val="auto"/>
          <w:sz w:val="24"/>
          <w:szCs w:val="24"/>
          <w:highlight w:val="none"/>
          <w:u w:val="single"/>
        </w:rPr>
        <w:t xml:space="preserve"> </w:t>
      </w:r>
      <w:r>
        <w:rPr>
          <w:color w:val="auto"/>
          <w:sz w:val="24"/>
          <w:szCs w:val="24"/>
          <w:highlight w:val="none"/>
          <w:u w:val="single"/>
        </w:rPr>
        <w:tab/>
      </w:r>
      <w:r>
        <w:rPr>
          <w:color w:val="auto"/>
          <w:sz w:val="24"/>
          <w:szCs w:val="24"/>
          <w:highlight w:val="none"/>
        </w:rPr>
        <w:t>日</w:t>
      </w:r>
    </w:p>
    <w:p w14:paraId="5B7AAD81">
      <w:pPr>
        <w:ind w:firstLine="480"/>
        <w:rPr>
          <w:rFonts w:hint="eastAsia" w:ascii="宋体" w:hAnsi="宋体"/>
          <w:color w:val="auto"/>
          <w:sz w:val="24"/>
          <w:highlight w:val="none"/>
        </w:rPr>
      </w:pPr>
    </w:p>
    <w:p w14:paraId="23B01E33">
      <w:pPr>
        <w:spacing w:line="400" w:lineRule="exact"/>
        <w:jc w:val="left"/>
        <w:rPr>
          <w:rFonts w:hint="eastAsia" w:ascii="宋体" w:hAnsi="宋体"/>
          <w:b/>
          <w:color w:val="auto"/>
          <w:sz w:val="24"/>
          <w:highlight w:val="none"/>
        </w:rPr>
      </w:pPr>
      <w:r>
        <w:rPr>
          <w:rFonts w:hint="eastAsia" w:ascii="宋体" w:hAnsi="宋体"/>
          <w:b/>
          <w:color w:val="auto"/>
          <w:sz w:val="24"/>
          <w:highlight w:val="none"/>
        </w:rPr>
        <w:t>注：1.投标人应保证所提供的联系电话有效，以保证能及时通知投标人，否则由此引起的一切后果由投标人承担。</w:t>
      </w:r>
    </w:p>
    <w:p w14:paraId="4736FDC6">
      <w:pPr>
        <w:spacing w:line="400" w:lineRule="exact"/>
        <w:ind w:firstLine="471" w:firstLineChars="196"/>
        <w:jc w:val="left"/>
        <w:rPr>
          <w:rFonts w:hint="eastAsia" w:ascii="宋体" w:hAnsi="宋体"/>
          <w:b/>
          <w:color w:val="auto"/>
          <w:sz w:val="24"/>
          <w:highlight w:val="none"/>
        </w:rPr>
      </w:pPr>
      <w:r>
        <w:rPr>
          <w:rFonts w:hint="eastAsia" w:ascii="宋体" w:hAnsi="宋体"/>
          <w:b/>
          <w:color w:val="auto"/>
          <w:sz w:val="24"/>
          <w:highlight w:val="none"/>
        </w:rPr>
        <w:t>2.评标会议期间，评标委员会如果认为有必要，要求投标人对投标文件含义不明确、对同类问题表述不一致或者有明显文字和计算错误的内容作必要的澄清或说明时，投标人的法定代表人或其委托代理人应按照评标委员会规定的时间和要求进行书面澄清或说明，否则，投标人须自行承担后果。</w:t>
      </w:r>
    </w:p>
    <w:p w14:paraId="672F408A">
      <w:pPr>
        <w:spacing w:line="400" w:lineRule="exact"/>
        <w:ind w:firstLine="471" w:firstLineChars="196"/>
        <w:jc w:val="left"/>
        <w:rPr>
          <w:rFonts w:hint="eastAsia" w:ascii="黑体" w:hAnsi="宋体"/>
          <w:b/>
          <w:color w:val="auto"/>
          <w:sz w:val="24"/>
          <w:highlight w:val="none"/>
        </w:rPr>
      </w:pPr>
      <w:r>
        <w:rPr>
          <w:rFonts w:hint="eastAsia" w:ascii="宋体" w:hAnsi="宋体"/>
          <w:b/>
          <w:color w:val="auto"/>
          <w:sz w:val="24"/>
          <w:highlight w:val="none"/>
        </w:rPr>
        <w:t>3.法定代表人身份证原件扫描件需由投标人加盖单位公章。</w:t>
      </w:r>
    </w:p>
    <w:p w14:paraId="0DF2E5A6">
      <w:pPr>
        <w:keepNext/>
        <w:keepLines/>
        <w:tabs>
          <w:tab w:val="left" w:pos="2520"/>
        </w:tabs>
        <w:spacing w:before="260" w:after="260" w:line="410" w:lineRule="auto"/>
        <w:ind w:firstLine="138" w:firstLineChars="49"/>
        <w:jc w:val="center"/>
        <w:outlineLvl w:val="2"/>
        <w:rPr>
          <w:rFonts w:hint="eastAsia" w:ascii="黑体" w:cs="宋体"/>
          <w:color w:val="auto"/>
          <w:sz w:val="28"/>
          <w:szCs w:val="20"/>
          <w:highlight w:val="none"/>
        </w:rPr>
      </w:pPr>
      <w:r>
        <w:rPr>
          <w:rFonts w:hint="eastAsia" w:ascii="黑体" w:eastAsia="黑体" w:cs="宋体"/>
          <w:b/>
          <w:color w:val="auto"/>
          <w:sz w:val="28"/>
          <w:szCs w:val="20"/>
          <w:highlight w:val="none"/>
        </w:rPr>
        <w:br w:type="page"/>
      </w:r>
      <w:bookmarkStart w:id="98" w:name="_Toc437961110"/>
      <w:bookmarkStart w:id="99" w:name="_Toc354672422"/>
      <w:bookmarkStart w:id="100" w:name="_Toc306284257"/>
      <w:r>
        <w:rPr>
          <w:rFonts w:hint="eastAsia" w:ascii="黑体" w:eastAsia="黑体" w:cs="宋体"/>
          <w:b/>
          <w:color w:val="auto"/>
          <w:sz w:val="28"/>
          <w:szCs w:val="20"/>
          <w:highlight w:val="none"/>
          <w:lang w:val="en-US" w:eastAsia="zh-CN"/>
        </w:rPr>
        <w:t>四</w:t>
      </w:r>
      <w:r>
        <w:rPr>
          <w:rFonts w:hint="eastAsia" w:ascii="黑体" w:eastAsia="黑体" w:cs="宋体"/>
          <w:b/>
          <w:color w:val="auto"/>
          <w:sz w:val="28"/>
          <w:szCs w:val="20"/>
          <w:highlight w:val="none"/>
        </w:rPr>
        <w:t>、授权委托书（如有）</w:t>
      </w:r>
    </w:p>
    <w:p w14:paraId="3390B5F1">
      <w:pPr>
        <w:jc w:val="center"/>
        <w:rPr>
          <w:rFonts w:hint="eastAsia" w:ascii="宋体" w:hAnsi="宋体"/>
          <w:color w:val="auto"/>
          <w:sz w:val="24"/>
          <w:highlight w:val="none"/>
        </w:rPr>
      </w:pPr>
    </w:p>
    <w:p w14:paraId="44A8BEAB">
      <w:pPr>
        <w:rPr>
          <w:rFonts w:hint="eastAsia" w:ascii="宋体" w:hAnsi="宋体"/>
          <w:color w:val="auto"/>
          <w:sz w:val="24"/>
          <w:highlight w:val="none"/>
        </w:rPr>
      </w:pPr>
    </w:p>
    <w:p w14:paraId="5C24B437">
      <w:pPr>
        <w:topLinePunct/>
        <w:spacing w:line="440" w:lineRule="exact"/>
        <w:ind w:firstLine="480" w:firstLineChars="200"/>
        <w:rPr>
          <w:rFonts w:ascii="宋体" w:hAnsi="宋体"/>
          <w:color w:val="auto"/>
          <w:sz w:val="24"/>
          <w:highlight w:val="none"/>
        </w:rPr>
      </w:pPr>
      <w:r>
        <w:rPr>
          <w:rFonts w:ascii="宋体" w:hAnsi="宋体"/>
          <w:color w:val="auto"/>
          <w:sz w:val="24"/>
          <w:highlight w:val="none"/>
        </w:rPr>
        <w:t>本人</w:t>
      </w:r>
      <w:r>
        <w:rPr>
          <w:rFonts w:ascii="宋体" w:hAnsi="宋体"/>
          <w:color w:val="auto"/>
          <w:sz w:val="24"/>
          <w:highlight w:val="none"/>
          <w:u w:val="single"/>
        </w:rPr>
        <w:t xml:space="preserve">       </w:t>
      </w:r>
      <w:r>
        <w:rPr>
          <w:rFonts w:ascii="宋体" w:hAnsi="宋体"/>
          <w:color w:val="auto"/>
          <w:sz w:val="24"/>
          <w:highlight w:val="none"/>
        </w:rPr>
        <w:t>（姓名）系</w:t>
      </w:r>
      <w:r>
        <w:rPr>
          <w:rFonts w:ascii="宋体" w:hAnsi="宋体"/>
          <w:color w:val="auto"/>
          <w:sz w:val="24"/>
          <w:highlight w:val="none"/>
          <w:u w:val="single"/>
        </w:rPr>
        <w:t xml:space="preserve">        </w:t>
      </w:r>
      <w:r>
        <w:rPr>
          <w:rFonts w:ascii="宋体" w:hAnsi="宋体"/>
          <w:color w:val="auto"/>
          <w:sz w:val="24"/>
          <w:highlight w:val="none"/>
        </w:rPr>
        <w:t>（投标人名称）的法定代表人，现委托</w:t>
      </w:r>
      <w:r>
        <w:rPr>
          <w:rFonts w:ascii="宋体" w:hAnsi="宋体"/>
          <w:color w:val="auto"/>
          <w:sz w:val="24"/>
          <w:highlight w:val="none"/>
          <w:u w:val="single"/>
        </w:rPr>
        <w:t xml:space="preserve">        </w:t>
      </w:r>
      <w:r>
        <w:rPr>
          <w:rFonts w:ascii="宋体" w:hAnsi="宋体"/>
          <w:color w:val="auto"/>
          <w:sz w:val="24"/>
          <w:highlight w:val="none"/>
        </w:rPr>
        <w:t>（姓名）为我方代理人。代理人根据授权，以我方名义签署、澄清</w:t>
      </w:r>
      <w:r>
        <w:rPr>
          <w:rFonts w:hint="eastAsia" w:ascii="宋体" w:hAnsi="宋体"/>
          <w:color w:val="auto"/>
          <w:sz w:val="24"/>
          <w:highlight w:val="none"/>
        </w:rPr>
        <w:t>、说明、补正</w:t>
      </w:r>
      <w:r>
        <w:rPr>
          <w:rFonts w:ascii="宋体" w:hAnsi="宋体"/>
          <w:color w:val="auto"/>
          <w:sz w:val="24"/>
          <w:highlight w:val="none"/>
        </w:rPr>
        <w:t>、递交、撤回、修改</w:t>
      </w:r>
      <w:r>
        <w:rPr>
          <w:rFonts w:hint="eastAsia" w:ascii="宋体" w:hAnsi="宋体"/>
          <w:color w:val="auto"/>
          <w:sz w:val="24"/>
          <w:highlight w:val="none"/>
          <w:u w:val="single"/>
        </w:rPr>
        <w:t xml:space="preserve">          </w:t>
      </w:r>
      <w:r>
        <w:rPr>
          <w:rFonts w:hint="eastAsia" w:ascii="宋体" w:hAnsi="宋体" w:cs="仿宋_GB2312"/>
          <w:color w:val="auto"/>
          <w:sz w:val="24"/>
          <w:highlight w:val="none"/>
        </w:rPr>
        <w:t>（项目名称）</w:t>
      </w:r>
      <w:r>
        <w:rPr>
          <w:rFonts w:hint="eastAsia" w:ascii="宋体" w:hAnsi="宋体"/>
          <w:color w:val="auto"/>
          <w:sz w:val="24"/>
          <w:highlight w:val="none"/>
        </w:rPr>
        <w:t>招标项目</w:t>
      </w:r>
      <w:r>
        <w:rPr>
          <w:rFonts w:ascii="宋体" w:hAnsi="宋体"/>
          <w:color w:val="auto"/>
          <w:sz w:val="24"/>
          <w:highlight w:val="none"/>
        </w:rPr>
        <w:t>投标文件、签订合同和处理有关事宜，其法律后果由我方承担。</w:t>
      </w:r>
    </w:p>
    <w:p w14:paraId="06C8DFF7">
      <w:pPr>
        <w:spacing w:line="440" w:lineRule="exact"/>
        <w:rPr>
          <w:rFonts w:ascii="宋体" w:hAnsi="宋体"/>
          <w:color w:val="auto"/>
          <w:sz w:val="24"/>
          <w:highlight w:val="none"/>
        </w:rPr>
      </w:pPr>
      <w:r>
        <w:rPr>
          <w:rFonts w:ascii="宋体" w:hAnsi="宋体"/>
          <w:color w:val="auto"/>
          <w:sz w:val="24"/>
          <w:highlight w:val="none"/>
        </w:rPr>
        <w:t xml:space="preserve">    委托期限：</w:t>
      </w:r>
      <w:r>
        <w:rPr>
          <w:rFonts w:ascii="宋体" w:hAnsi="宋体"/>
          <w:color w:val="auto"/>
          <w:sz w:val="24"/>
          <w:highlight w:val="none"/>
          <w:u w:val="single"/>
        </w:rPr>
        <w:t xml:space="preserve">             </w:t>
      </w:r>
      <w:r>
        <w:rPr>
          <w:rFonts w:hint="eastAsia" w:ascii="宋体" w:hAnsi="宋体"/>
          <w:color w:val="auto"/>
          <w:sz w:val="24"/>
          <w:highlight w:val="none"/>
        </w:rPr>
        <w:t>。</w:t>
      </w:r>
    </w:p>
    <w:p w14:paraId="0CD28C4A">
      <w:pPr>
        <w:spacing w:line="440" w:lineRule="exact"/>
        <w:ind w:firstLine="480" w:firstLineChars="200"/>
        <w:rPr>
          <w:rFonts w:ascii="宋体" w:hAnsi="宋体"/>
          <w:color w:val="auto"/>
          <w:sz w:val="24"/>
          <w:highlight w:val="none"/>
        </w:rPr>
      </w:pPr>
      <w:r>
        <w:rPr>
          <w:rFonts w:ascii="宋体" w:hAnsi="宋体"/>
          <w:color w:val="auto"/>
          <w:sz w:val="24"/>
          <w:highlight w:val="none"/>
        </w:rPr>
        <w:t>代理人无转委托权。</w:t>
      </w:r>
    </w:p>
    <w:p w14:paraId="7F39E16B">
      <w:pPr>
        <w:ind w:firstLine="420"/>
        <w:rPr>
          <w:rFonts w:hint="eastAsia"/>
          <w:color w:val="auto"/>
          <w:highlight w:val="none"/>
        </w:rPr>
      </w:pPr>
    </w:p>
    <w:p w14:paraId="56088970">
      <w:pPr>
        <w:spacing w:line="440" w:lineRule="exact"/>
        <w:ind w:firstLine="480" w:firstLineChars="200"/>
        <w:rPr>
          <w:rFonts w:hint="eastAsia" w:ascii="宋体" w:hAnsi="宋体"/>
          <w:color w:val="auto"/>
          <w:sz w:val="24"/>
          <w:highlight w:val="none"/>
        </w:rPr>
      </w:pPr>
      <w:r>
        <w:rPr>
          <w:rFonts w:hint="eastAsia" w:ascii="宋体" w:hAnsi="宋体"/>
          <w:color w:val="auto"/>
          <w:sz w:val="24"/>
          <w:highlight w:val="none"/>
        </w:rPr>
        <w:t>附：法定代表人身份证明及委托代理人身份证的扫描件</w:t>
      </w:r>
    </w:p>
    <w:p w14:paraId="252C64C3">
      <w:pPr>
        <w:spacing w:line="240" w:lineRule="auto"/>
        <w:rPr>
          <w:rFonts w:ascii="宋体" w:hAnsi="宋体"/>
          <w:color w:val="auto"/>
          <w:sz w:val="24"/>
          <w:highlight w:val="none"/>
        </w:rPr>
      </w:pPr>
    </w:p>
    <w:p w14:paraId="4F5963AF">
      <w:pPr>
        <w:spacing w:line="240" w:lineRule="auto"/>
        <w:ind w:firstLine="2160" w:firstLineChars="900"/>
        <w:rPr>
          <w:rFonts w:ascii="宋体" w:hAnsi="宋体"/>
          <w:color w:val="auto"/>
          <w:sz w:val="24"/>
          <w:highlight w:val="none"/>
        </w:rPr>
      </w:pPr>
      <w:r>
        <w:rPr>
          <w:rFonts w:ascii="宋体" w:hAnsi="宋体"/>
          <w:color w:val="auto"/>
          <w:sz w:val="24"/>
          <w:highlight w:val="none"/>
        </w:rPr>
        <w:t>投标人：</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w:t>
      </w:r>
      <w:r>
        <w:rPr>
          <w:rFonts w:hint="eastAsia" w:ascii="宋体" w:hAnsi="宋体"/>
          <w:color w:val="auto"/>
          <w:sz w:val="24"/>
          <w:highlight w:val="none"/>
        </w:rPr>
        <w:t>盖公章</w:t>
      </w:r>
      <w:r>
        <w:rPr>
          <w:rFonts w:ascii="宋体" w:hAnsi="宋体"/>
          <w:color w:val="auto"/>
          <w:sz w:val="24"/>
          <w:highlight w:val="none"/>
        </w:rPr>
        <w:t>）</w:t>
      </w:r>
    </w:p>
    <w:p w14:paraId="6F62A5E8">
      <w:pPr>
        <w:spacing w:line="240" w:lineRule="auto"/>
        <w:ind w:firstLine="3120" w:firstLineChars="1300"/>
        <w:rPr>
          <w:rFonts w:ascii="宋体" w:hAnsi="宋体"/>
          <w:color w:val="auto"/>
          <w:sz w:val="24"/>
          <w:highlight w:val="none"/>
        </w:rPr>
      </w:pPr>
    </w:p>
    <w:p w14:paraId="4F4D51A8">
      <w:pPr>
        <w:spacing w:line="240" w:lineRule="auto"/>
        <w:ind w:firstLine="1680" w:firstLineChars="700"/>
        <w:rPr>
          <w:rFonts w:ascii="宋体" w:hAnsi="宋体"/>
          <w:color w:val="auto"/>
          <w:sz w:val="24"/>
          <w:highlight w:val="none"/>
        </w:rPr>
      </w:pPr>
      <w:r>
        <w:rPr>
          <w:rFonts w:ascii="宋体" w:hAnsi="宋体"/>
          <w:color w:val="auto"/>
          <w:sz w:val="24"/>
          <w:highlight w:val="none"/>
        </w:rPr>
        <w:t>法定代表人：</w:t>
      </w:r>
      <w:r>
        <w:rPr>
          <w:rFonts w:ascii="宋体" w:hAnsi="宋体"/>
          <w:color w:val="auto"/>
          <w:sz w:val="24"/>
          <w:highlight w:val="none"/>
          <w:u w:val="single"/>
        </w:rPr>
        <w:t xml:space="preserve">                               </w:t>
      </w:r>
      <w:r>
        <w:rPr>
          <w:rFonts w:ascii="宋体" w:hAnsi="宋体"/>
          <w:color w:val="auto"/>
          <w:sz w:val="24"/>
          <w:highlight w:val="none"/>
        </w:rPr>
        <w:t>（签字</w:t>
      </w:r>
      <w:r>
        <w:rPr>
          <w:rFonts w:hint="eastAsia" w:ascii="宋体" w:hAnsi="宋体" w:cs="宋体"/>
          <w:color w:val="auto"/>
          <w:kern w:val="0"/>
          <w:sz w:val="24"/>
          <w:highlight w:val="none"/>
        </w:rPr>
        <w:t>（章）</w:t>
      </w:r>
      <w:r>
        <w:rPr>
          <w:rFonts w:ascii="宋体" w:hAnsi="宋体"/>
          <w:color w:val="auto"/>
          <w:sz w:val="24"/>
          <w:highlight w:val="none"/>
        </w:rPr>
        <w:t>）</w:t>
      </w:r>
    </w:p>
    <w:p w14:paraId="7259241F">
      <w:pPr>
        <w:spacing w:line="240" w:lineRule="auto"/>
        <w:ind w:firstLine="3120" w:firstLineChars="1300"/>
        <w:rPr>
          <w:rFonts w:ascii="宋体" w:hAnsi="宋体"/>
          <w:color w:val="auto"/>
          <w:sz w:val="24"/>
          <w:highlight w:val="none"/>
        </w:rPr>
      </w:pPr>
    </w:p>
    <w:p w14:paraId="0321AAEA">
      <w:pPr>
        <w:spacing w:line="240" w:lineRule="auto"/>
        <w:ind w:firstLine="2160" w:firstLineChars="900"/>
        <w:rPr>
          <w:rFonts w:ascii="宋体" w:hAnsi="宋体"/>
          <w:color w:val="auto"/>
          <w:sz w:val="24"/>
          <w:highlight w:val="none"/>
        </w:rPr>
      </w:pPr>
      <w:r>
        <w:rPr>
          <w:rFonts w:ascii="宋体" w:hAnsi="宋体"/>
          <w:color w:val="auto"/>
          <w:sz w:val="24"/>
          <w:highlight w:val="none"/>
        </w:rPr>
        <w:t>身份证号码：</w:t>
      </w:r>
      <w:r>
        <w:rPr>
          <w:rFonts w:ascii="宋体" w:hAnsi="宋体"/>
          <w:color w:val="auto"/>
          <w:sz w:val="24"/>
          <w:highlight w:val="none"/>
          <w:u w:val="single"/>
        </w:rPr>
        <w:t xml:space="preserve">                               </w:t>
      </w:r>
    </w:p>
    <w:p w14:paraId="5955EEF1">
      <w:pPr>
        <w:spacing w:line="240" w:lineRule="auto"/>
        <w:ind w:firstLine="3120" w:firstLineChars="1300"/>
        <w:rPr>
          <w:rFonts w:ascii="宋体" w:hAnsi="宋体"/>
          <w:color w:val="auto"/>
          <w:sz w:val="24"/>
          <w:highlight w:val="none"/>
        </w:rPr>
      </w:pPr>
    </w:p>
    <w:p w14:paraId="78E68624">
      <w:pPr>
        <w:spacing w:line="240" w:lineRule="auto"/>
        <w:ind w:firstLine="1920" w:firstLineChars="800"/>
        <w:rPr>
          <w:rFonts w:ascii="宋体" w:hAnsi="宋体"/>
          <w:color w:val="auto"/>
          <w:sz w:val="24"/>
          <w:highlight w:val="none"/>
        </w:rPr>
      </w:pPr>
      <w:r>
        <w:rPr>
          <w:rFonts w:ascii="宋体" w:hAnsi="宋体"/>
          <w:color w:val="auto"/>
          <w:sz w:val="24"/>
          <w:highlight w:val="none"/>
        </w:rPr>
        <w:t>委托代理人：</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rPr>
        <w:t>（签字</w:t>
      </w:r>
      <w:r>
        <w:rPr>
          <w:rFonts w:hint="eastAsia" w:ascii="宋体" w:hAnsi="宋体" w:cs="宋体"/>
          <w:color w:val="auto"/>
          <w:kern w:val="0"/>
          <w:sz w:val="24"/>
          <w:highlight w:val="none"/>
        </w:rPr>
        <w:t>（章）</w:t>
      </w:r>
      <w:r>
        <w:rPr>
          <w:rFonts w:ascii="宋体" w:hAnsi="宋体"/>
          <w:color w:val="auto"/>
          <w:sz w:val="24"/>
          <w:highlight w:val="none"/>
        </w:rPr>
        <w:t xml:space="preserve">） </w:t>
      </w:r>
    </w:p>
    <w:p w14:paraId="7C41D834">
      <w:pPr>
        <w:spacing w:line="240" w:lineRule="auto"/>
        <w:ind w:firstLine="3120" w:firstLineChars="1300"/>
        <w:rPr>
          <w:rFonts w:ascii="宋体" w:hAnsi="宋体"/>
          <w:color w:val="auto"/>
          <w:sz w:val="24"/>
          <w:highlight w:val="none"/>
        </w:rPr>
      </w:pPr>
    </w:p>
    <w:p w14:paraId="246078C3">
      <w:pPr>
        <w:spacing w:line="240" w:lineRule="auto"/>
        <w:ind w:firstLine="3120" w:firstLineChars="1300"/>
        <w:rPr>
          <w:rFonts w:hint="eastAsia" w:ascii="宋体" w:hAnsi="宋体"/>
          <w:color w:val="auto"/>
          <w:sz w:val="24"/>
          <w:highlight w:val="none"/>
        </w:rPr>
      </w:pPr>
      <w:r>
        <w:rPr>
          <w:rFonts w:ascii="宋体" w:hAnsi="宋体"/>
          <w:color w:val="auto"/>
          <w:sz w:val="24"/>
          <w:highlight w:val="none"/>
        </w:rPr>
        <w:t>身份证号码：</w:t>
      </w:r>
      <w:r>
        <w:rPr>
          <w:rFonts w:ascii="宋体" w:hAnsi="宋体"/>
          <w:color w:val="auto"/>
          <w:sz w:val="24"/>
          <w:highlight w:val="none"/>
          <w:u w:val="single"/>
        </w:rPr>
        <w:t xml:space="preserve">                               </w:t>
      </w:r>
    </w:p>
    <w:p w14:paraId="77DC4C90">
      <w:pPr>
        <w:spacing w:line="240" w:lineRule="auto"/>
        <w:ind w:firstLine="3120" w:firstLineChars="1300"/>
        <w:rPr>
          <w:rFonts w:hint="eastAsia" w:ascii="宋体" w:hAnsi="宋体"/>
          <w:color w:val="auto"/>
          <w:sz w:val="24"/>
          <w:highlight w:val="none"/>
        </w:rPr>
      </w:pPr>
    </w:p>
    <w:p w14:paraId="048AA440">
      <w:pPr>
        <w:spacing w:line="240" w:lineRule="auto"/>
        <w:ind w:firstLine="3120" w:firstLineChars="1300"/>
        <w:rPr>
          <w:rFonts w:ascii="宋体" w:hAnsi="宋体"/>
          <w:color w:val="auto"/>
          <w:sz w:val="24"/>
          <w:highlight w:val="none"/>
        </w:rPr>
      </w:pPr>
      <w:r>
        <w:rPr>
          <w:rFonts w:hint="eastAsia" w:ascii="宋体" w:hAnsi="宋体"/>
          <w:color w:val="auto"/>
          <w:sz w:val="24"/>
          <w:highlight w:val="none"/>
        </w:rPr>
        <w:t>委托代理人联系电话</w:t>
      </w:r>
      <w:r>
        <w:rPr>
          <w:rFonts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p>
    <w:p w14:paraId="7B7FDE64">
      <w:pPr>
        <w:spacing w:line="240" w:lineRule="auto"/>
        <w:rPr>
          <w:rFonts w:ascii="宋体" w:hAnsi="宋体"/>
          <w:color w:val="auto"/>
          <w:sz w:val="24"/>
          <w:highlight w:val="none"/>
        </w:rPr>
      </w:pPr>
    </w:p>
    <w:p w14:paraId="57DD0254">
      <w:pPr>
        <w:spacing w:line="240" w:lineRule="auto"/>
        <w:ind w:firstLine="4800" w:firstLineChars="2000"/>
        <w:rPr>
          <w:rFonts w:ascii="宋体" w:hAnsi="宋体"/>
          <w:color w:val="auto"/>
          <w:sz w:val="24"/>
          <w:highlight w:val="none"/>
        </w:rPr>
      </w:pPr>
      <w:r>
        <w:rPr>
          <w:rFonts w:ascii="宋体" w:hAnsi="宋体"/>
          <w:color w:val="auto"/>
          <w:sz w:val="24"/>
          <w:highlight w:val="none"/>
          <w:u w:val="single"/>
        </w:rPr>
        <w:t xml:space="preserve">       </w:t>
      </w:r>
      <w:r>
        <w:rPr>
          <w:rFonts w:ascii="宋体" w:hAnsi="宋体"/>
          <w:color w:val="auto"/>
          <w:sz w:val="24"/>
          <w:highlight w:val="none"/>
        </w:rPr>
        <w:t>年</w:t>
      </w:r>
      <w:r>
        <w:rPr>
          <w:rFonts w:ascii="宋体" w:hAnsi="宋体"/>
          <w:color w:val="auto"/>
          <w:sz w:val="24"/>
          <w:highlight w:val="none"/>
          <w:u w:val="single"/>
        </w:rPr>
        <w:t xml:space="preserve">       </w:t>
      </w:r>
      <w:r>
        <w:rPr>
          <w:rFonts w:ascii="宋体" w:hAnsi="宋体"/>
          <w:color w:val="auto"/>
          <w:sz w:val="24"/>
          <w:highlight w:val="none"/>
        </w:rPr>
        <w:t>月</w:t>
      </w:r>
      <w:r>
        <w:rPr>
          <w:rFonts w:ascii="宋体" w:hAnsi="宋体"/>
          <w:color w:val="auto"/>
          <w:sz w:val="24"/>
          <w:highlight w:val="none"/>
          <w:u w:val="single"/>
        </w:rPr>
        <w:t xml:space="preserve">       </w:t>
      </w:r>
      <w:r>
        <w:rPr>
          <w:rFonts w:ascii="宋体" w:hAnsi="宋体"/>
          <w:color w:val="auto"/>
          <w:sz w:val="24"/>
          <w:highlight w:val="none"/>
        </w:rPr>
        <w:t>日</w:t>
      </w:r>
    </w:p>
    <w:p w14:paraId="198DD120">
      <w:pPr>
        <w:spacing w:line="360" w:lineRule="exact"/>
        <w:rPr>
          <w:rFonts w:hint="eastAsia" w:ascii="宋体" w:hAnsi="宋体"/>
          <w:b/>
          <w:color w:val="auto"/>
          <w:sz w:val="24"/>
          <w:highlight w:val="none"/>
        </w:rPr>
      </w:pPr>
    </w:p>
    <w:p w14:paraId="3FEB876D">
      <w:pPr>
        <w:spacing w:line="360" w:lineRule="exact"/>
        <w:rPr>
          <w:rFonts w:hint="eastAsia" w:ascii="宋体" w:hAnsi="宋体"/>
          <w:b/>
          <w:color w:val="auto"/>
          <w:sz w:val="24"/>
          <w:highlight w:val="none"/>
        </w:rPr>
      </w:pPr>
      <w:r>
        <w:rPr>
          <w:rFonts w:hint="eastAsia" w:ascii="宋体" w:hAnsi="宋体"/>
          <w:b/>
          <w:color w:val="auto"/>
          <w:sz w:val="24"/>
          <w:highlight w:val="none"/>
        </w:rPr>
        <w:t>注：1.投标人应保证所提供的联系电话有效，以保证能及时通知投标人，否则由此引起的一切后果由投标人承担。</w:t>
      </w:r>
    </w:p>
    <w:p w14:paraId="21A7AF63">
      <w:pPr>
        <w:spacing w:line="360" w:lineRule="exact"/>
        <w:ind w:firstLine="471" w:firstLineChars="196"/>
        <w:rPr>
          <w:rFonts w:hint="eastAsia" w:ascii="宋体" w:hAnsi="宋体"/>
          <w:b/>
          <w:color w:val="auto"/>
          <w:sz w:val="24"/>
          <w:highlight w:val="none"/>
        </w:rPr>
      </w:pPr>
      <w:r>
        <w:rPr>
          <w:rFonts w:hint="eastAsia" w:ascii="宋体" w:hAnsi="宋体"/>
          <w:b/>
          <w:color w:val="auto"/>
          <w:sz w:val="24"/>
          <w:highlight w:val="none"/>
        </w:rPr>
        <w:t>2.评标会议期间，评标委员会如果认为有必要，要求投标人对投标文件含义不明确、对同类问题表述不一致或者有明显文字和计算错误的内容作必要的澄清或说明时，投标人的法定代表人或其委托代理人应按照评标委员会规定的时间和要求进行书面澄清或说明，否则，投标人须自行承担后果。</w:t>
      </w:r>
    </w:p>
    <w:p w14:paraId="404F4AEE">
      <w:pPr>
        <w:spacing w:line="360" w:lineRule="exact"/>
        <w:ind w:firstLine="471" w:firstLineChars="196"/>
        <w:rPr>
          <w:rFonts w:hint="eastAsia" w:ascii="宋体" w:hAnsi="宋体"/>
          <w:b/>
          <w:color w:val="auto"/>
          <w:sz w:val="24"/>
          <w:highlight w:val="none"/>
        </w:rPr>
      </w:pPr>
      <w:r>
        <w:rPr>
          <w:rFonts w:hint="eastAsia" w:ascii="宋体" w:hAnsi="宋体"/>
          <w:b/>
          <w:color w:val="auto"/>
          <w:sz w:val="24"/>
          <w:highlight w:val="none"/>
        </w:rPr>
        <w:t>3.委托代理人身份证原件扫描件需由投标人加盖单位公章。</w:t>
      </w:r>
    </w:p>
    <w:bookmarkEnd w:id="98"/>
    <w:bookmarkEnd w:id="99"/>
    <w:bookmarkEnd w:id="100"/>
    <w:p w14:paraId="14A9B6F3">
      <w:pPr>
        <w:keepNext/>
        <w:keepLines/>
        <w:spacing w:before="260" w:after="260" w:line="416" w:lineRule="auto"/>
        <w:jc w:val="center"/>
        <w:outlineLvl w:val="2"/>
        <w:rPr>
          <w:b/>
          <w:bCs/>
          <w:color w:val="auto"/>
          <w:sz w:val="32"/>
          <w:szCs w:val="32"/>
          <w:highlight w:val="none"/>
        </w:rPr>
      </w:pPr>
      <w:r>
        <w:rPr>
          <w:rFonts w:hint="eastAsia"/>
          <w:b/>
          <w:bCs/>
          <w:color w:val="auto"/>
          <w:sz w:val="32"/>
          <w:szCs w:val="32"/>
          <w:highlight w:val="none"/>
        </w:rPr>
        <w:br w:type="page"/>
      </w:r>
      <w:r>
        <w:rPr>
          <w:rFonts w:hint="eastAsia" w:eastAsia="宋体"/>
          <w:b/>
          <w:bCs/>
          <w:color w:val="auto"/>
          <w:sz w:val="32"/>
          <w:szCs w:val="32"/>
          <w:highlight w:val="none"/>
          <w:lang w:val="en-US" w:eastAsia="zh-CN"/>
        </w:rPr>
        <w:t>五</w:t>
      </w:r>
      <w:r>
        <w:rPr>
          <w:rFonts w:hint="eastAsia"/>
          <w:b/>
          <w:bCs/>
          <w:color w:val="auto"/>
          <w:sz w:val="32"/>
          <w:szCs w:val="32"/>
          <w:highlight w:val="none"/>
        </w:rPr>
        <w:t xml:space="preserve"> 资格标其他材料</w:t>
      </w:r>
    </w:p>
    <w:p w14:paraId="4E76C9D0">
      <w:pPr>
        <w:spacing w:line="320" w:lineRule="exact"/>
        <w:rPr>
          <w:rFonts w:hint="eastAsia" w:ascii="Times New Roman" w:hAnsi="Times New Roman"/>
          <w:color w:val="auto"/>
          <w:szCs w:val="21"/>
          <w:highlight w:val="none"/>
        </w:rPr>
      </w:pPr>
      <w:bookmarkStart w:id="101" w:name="_Toc437612621"/>
      <w:r>
        <w:rPr>
          <w:rFonts w:hint="eastAsia" w:ascii="Times New Roman" w:hAnsi="Times New Roman"/>
          <w:color w:val="auto"/>
          <w:szCs w:val="21"/>
          <w:highlight w:val="none"/>
        </w:rPr>
        <w:t>注：此处提交招标文件规定的其他材料，以及投标人认为需要提交的其他材料。</w:t>
      </w:r>
      <w:bookmarkEnd w:id="101"/>
    </w:p>
    <w:p w14:paraId="7A66CD0F">
      <w:pPr>
        <w:keepNext w:val="0"/>
        <w:keepLines w:val="0"/>
        <w:numPr>
          <w:ilvl w:val="0"/>
          <w:numId w:val="0"/>
        </w:numPr>
        <w:spacing w:line="320" w:lineRule="exact"/>
        <w:ind w:firstLine="420" w:firstLineChars="200"/>
        <w:jc w:val="center"/>
        <w:outlineLvl w:val="9"/>
        <w:rPr>
          <w:b/>
          <w:bCs/>
          <w:color w:val="auto"/>
          <w:sz w:val="32"/>
          <w:szCs w:val="32"/>
          <w:highlight w:val="none"/>
        </w:rPr>
      </w:pPr>
      <w:r>
        <w:rPr>
          <w:rFonts w:hint="eastAsia" w:ascii="Times New Roman" w:hAnsi="Times New Roman"/>
          <w:b/>
          <w:bCs/>
          <w:color w:val="auto"/>
          <w:szCs w:val="32"/>
          <w:highlight w:val="none"/>
        </w:rPr>
        <w:br w:type="page"/>
      </w:r>
      <w:r>
        <w:rPr>
          <w:rFonts w:hint="eastAsia" w:ascii="黑体" w:hAnsi="黑体" w:eastAsia="黑体" w:cs="黑体"/>
          <w:b w:val="0"/>
          <w:bCs/>
          <w:color w:val="auto"/>
          <w:sz w:val="30"/>
          <w:szCs w:val="30"/>
          <w:highlight w:val="none"/>
        </w:rPr>
        <w:t>附表一  投标人基本情况表</w:t>
      </w:r>
    </w:p>
    <w:tbl>
      <w:tblPr>
        <w:tblStyle w:val="17"/>
        <w:tblW w:w="85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1038"/>
        <w:gridCol w:w="811"/>
        <w:gridCol w:w="840"/>
        <w:gridCol w:w="420"/>
        <w:gridCol w:w="311"/>
        <w:gridCol w:w="1078"/>
        <w:gridCol w:w="490"/>
        <w:gridCol w:w="860"/>
        <w:gridCol w:w="992"/>
      </w:tblGrid>
      <w:tr w14:paraId="31A23A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84D14D2">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投标人名称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56E05BA3">
            <w:pPr>
              <w:topLinePunct/>
              <w:spacing w:line="440" w:lineRule="exact"/>
              <w:jc w:val="left"/>
              <w:rPr>
                <w:rFonts w:ascii="宋体" w:hAnsi="宋体"/>
                <w:color w:val="auto"/>
                <w:sz w:val="24"/>
                <w:szCs w:val="24"/>
                <w:highlight w:val="none"/>
              </w:rPr>
            </w:pPr>
          </w:p>
        </w:tc>
      </w:tr>
      <w:tr w14:paraId="6B3FC2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66A10217">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329B511C">
            <w:pPr>
              <w:topLinePunct/>
              <w:spacing w:line="440" w:lineRule="exact"/>
              <w:jc w:val="left"/>
              <w:rPr>
                <w:rFonts w:ascii="宋体" w:hAnsi="宋体"/>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5BAAEA7">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邮</w:t>
            </w:r>
            <w:r>
              <w:rPr>
                <w:rFonts w:hint="eastAsia" w:ascii="宋体" w:hAnsi="宋体"/>
                <w:color w:val="auto"/>
                <w:sz w:val="24"/>
                <w:szCs w:val="24"/>
                <w:highlight w:val="none"/>
              </w:rPr>
              <w:t xml:space="preserve"> </w:t>
            </w:r>
            <w:r>
              <w:rPr>
                <w:rFonts w:ascii="宋体" w:hAnsi="宋体"/>
                <w:color w:val="auto"/>
                <w:sz w:val="24"/>
                <w:szCs w:val="24"/>
                <w:highlight w:val="none"/>
              </w:rPr>
              <w:t>政</w:t>
            </w:r>
          </w:p>
          <w:p w14:paraId="3E11A17B">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编</w:t>
            </w:r>
            <w:r>
              <w:rPr>
                <w:rFonts w:hint="eastAsia" w:ascii="宋体" w:hAnsi="宋体"/>
                <w:color w:val="auto"/>
                <w:sz w:val="24"/>
                <w:szCs w:val="24"/>
                <w:highlight w:val="none"/>
              </w:rPr>
              <w:t xml:space="preserve"> </w:t>
            </w:r>
            <w:r>
              <w:rPr>
                <w:rFonts w:ascii="宋体" w:hAnsi="宋体"/>
                <w:color w:val="auto"/>
                <w:sz w:val="24"/>
                <w:szCs w:val="24"/>
                <w:highlight w:val="none"/>
              </w:rPr>
              <w:t>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1D4AD250">
            <w:pPr>
              <w:topLinePunct/>
              <w:spacing w:line="440" w:lineRule="exact"/>
              <w:jc w:val="center"/>
              <w:rPr>
                <w:rFonts w:ascii="宋体" w:hAnsi="宋体"/>
                <w:color w:val="auto"/>
                <w:sz w:val="24"/>
                <w:szCs w:val="24"/>
                <w:highlight w:val="none"/>
              </w:rPr>
            </w:pPr>
          </w:p>
        </w:tc>
      </w:tr>
      <w:tr w14:paraId="0C046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3A62FD46">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联系方式</w:t>
            </w:r>
          </w:p>
        </w:tc>
        <w:tc>
          <w:tcPr>
            <w:tcW w:w="1038" w:type="dxa"/>
            <w:tcBorders>
              <w:top w:val="single" w:color="auto" w:sz="4" w:space="0"/>
              <w:left w:val="single" w:color="auto" w:sz="4" w:space="0"/>
              <w:bottom w:val="single" w:color="auto" w:sz="4" w:space="0"/>
              <w:right w:val="single" w:color="auto" w:sz="4" w:space="0"/>
            </w:tcBorders>
            <w:noWrap w:val="0"/>
            <w:vAlign w:val="center"/>
          </w:tcPr>
          <w:p w14:paraId="07C20FEB">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联系人</w:t>
            </w:r>
          </w:p>
        </w:tc>
        <w:tc>
          <w:tcPr>
            <w:tcW w:w="2382" w:type="dxa"/>
            <w:gridSpan w:val="4"/>
            <w:tcBorders>
              <w:top w:val="single" w:color="auto" w:sz="4" w:space="0"/>
              <w:left w:val="single" w:color="auto" w:sz="4" w:space="0"/>
              <w:bottom w:val="single" w:color="auto" w:sz="4" w:space="0"/>
              <w:right w:val="single" w:color="auto" w:sz="4" w:space="0"/>
            </w:tcBorders>
            <w:noWrap w:val="0"/>
            <w:vAlign w:val="center"/>
          </w:tcPr>
          <w:p w14:paraId="5B1ADD0B">
            <w:pPr>
              <w:topLinePunct/>
              <w:spacing w:line="440" w:lineRule="exact"/>
              <w:jc w:val="center"/>
              <w:rPr>
                <w:rFonts w:ascii="宋体" w:hAnsi="宋体"/>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021A042">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73E29689">
            <w:pPr>
              <w:topLinePunct/>
              <w:spacing w:line="440" w:lineRule="exact"/>
              <w:jc w:val="center"/>
              <w:rPr>
                <w:rFonts w:ascii="宋体" w:hAnsi="宋体"/>
                <w:color w:val="auto"/>
                <w:sz w:val="24"/>
                <w:szCs w:val="24"/>
                <w:highlight w:val="none"/>
              </w:rPr>
            </w:pPr>
          </w:p>
        </w:tc>
      </w:tr>
      <w:tr w14:paraId="07C517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2"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61EDF2D5">
            <w:pPr>
              <w:topLinePunct/>
              <w:spacing w:line="440" w:lineRule="exact"/>
              <w:jc w:val="center"/>
              <w:rPr>
                <w:rFonts w:ascii="宋体" w:hAnsi="宋体"/>
                <w:color w:val="auto"/>
                <w:sz w:val="24"/>
                <w:szCs w:val="24"/>
                <w:highlight w:val="none"/>
              </w:rPr>
            </w:pPr>
          </w:p>
        </w:tc>
        <w:tc>
          <w:tcPr>
            <w:tcW w:w="1038" w:type="dxa"/>
            <w:tcBorders>
              <w:top w:val="single" w:color="auto" w:sz="4" w:space="0"/>
              <w:left w:val="single" w:color="auto" w:sz="4" w:space="0"/>
              <w:bottom w:val="single" w:color="auto" w:sz="4" w:space="0"/>
              <w:right w:val="single" w:color="auto" w:sz="4" w:space="0"/>
            </w:tcBorders>
            <w:noWrap w:val="0"/>
            <w:vAlign w:val="center"/>
          </w:tcPr>
          <w:p w14:paraId="11F32A8D">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传  真</w:t>
            </w:r>
          </w:p>
        </w:tc>
        <w:tc>
          <w:tcPr>
            <w:tcW w:w="2382" w:type="dxa"/>
            <w:gridSpan w:val="4"/>
            <w:tcBorders>
              <w:top w:val="single" w:color="auto" w:sz="4" w:space="0"/>
              <w:left w:val="single" w:color="auto" w:sz="4" w:space="0"/>
              <w:bottom w:val="single" w:color="auto" w:sz="4" w:space="0"/>
              <w:right w:val="single" w:color="auto" w:sz="4" w:space="0"/>
            </w:tcBorders>
            <w:noWrap w:val="0"/>
            <w:vAlign w:val="center"/>
          </w:tcPr>
          <w:p w14:paraId="15FB4EE3">
            <w:pPr>
              <w:topLinePunct/>
              <w:spacing w:line="440" w:lineRule="exact"/>
              <w:jc w:val="center"/>
              <w:rPr>
                <w:rFonts w:ascii="宋体" w:hAnsi="宋体"/>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7AFF9BD">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网 址</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3E7411CE">
            <w:pPr>
              <w:topLinePunct/>
              <w:spacing w:line="440" w:lineRule="exact"/>
              <w:jc w:val="center"/>
              <w:rPr>
                <w:rFonts w:ascii="宋体" w:hAnsi="宋体"/>
                <w:color w:val="auto"/>
                <w:sz w:val="24"/>
                <w:szCs w:val="24"/>
                <w:highlight w:val="none"/>
              </w:rPr>
            </w:pPr>
          </w:p>
        </w:tc>
      </w:tr>
      <w:tr w14:paraId="561087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D817958">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法定代表人</w:t>
            </w:r>
          </w:p>
        </w:tc>
        <w:tc>
          <w:tcPr>
            <w:tcW w:w="1038" w:type="dxa"/>
            <w:tcBorders>
              <w:top w:val="single" w:color="auto" w:sz="4" w:space="0"/>
              <w:left w:val="single" w:color="auto" w:sz="4" w:space="0"/>
              <w:bottom w:val="single" w:color="auto" w:sz="4" w:space="0"/>
              <w:right w:val="single" w:color="auto" w:sz="4" w:space="0"/>
            </w:tcBorders>
            <w:noWrap w:val="0"/>
            <w:vAlign w:val="center"/>
          </w:tcPr>
          <w:p w14:paraId="488D4307">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姓名</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3E327A4B">
            <w:pPr>
              <w:topLinePunct/>
              <w:spacing w:line="440" w:lineRule="exact"/>
              <w:jc w:val="center"/>
              <w:rPr>
                <w:rFonts w:ascii="宋体" w:hAnsi="宋体"/>
                <w:color w:val="auto"/>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5E9D2B54">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4894222F">
            <w:pPr>
              <w:topLinePunct/>
              <w:spacing w:line="440" w:lineRule="exact"/>
              <w:jc w:val="center"/>
              <w:rPr>
                <w:rFonts w:ascii="宋体" w:hAnsi="宋体"/>
                <w:color w:val="auto"/>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4A15EB86">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DAEA490">
            <w:pPr>
              <w:topLinePunct/>
              <w:spacing w:line="440" w:lineRule="exact"/>
              <w:jc w:val="center"/>
              <w:rPr>
                <w:rFonts w:ascii="宋体" w:hAnsi="宋体"/>
                <w:color w:val="auto"/>
                <w:sz w:val="24"/>
                <w:szCs w:val="24"/>
                <w:highlight w:val="none"/>
              </w:rPr>
            </w:pPr>
          </w:p>
        </w:tc>
      </w:tr>
      <w:tr w14:paraId="25F7A7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2CBE20B">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技术负责人</w:t>
            </w:r>
          </w:p>
        </w:tc>
        <w:tc>
          <w:tcPr>
            <w:tcW w:w="1038" w:type="dxa"/>
            <w:tcBorders>
              <w:top w:val="single" w:color="auto" w:sz="4" w:space="0"/>
              <w:left w:val="single" w:color="auto" w:sz="4" w:space="0"/>
              <w:bottom w:val="single" w:color="auto" w:sz="4" w:space="0"/>
              <w:right w:val="single" w:color="auto" w:sz="4" w:space="0"/>
            </w:tcBorders>
            <w:noWrap w:val="0"/>
            <w:vAlign w:val="center"/>
          </w:tcPr>
          <w:p w14:paraId="42ECA320">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姓名</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1F8E56AF">
            <w:pPr>
              <w:topLinePunct/>
              <w:spacing w:line="440" w:lineRule="exact"/>
              <w:jc w:val="center"/>
              <w:rPr>
                <w:rFonts w:ascii="宋体" w:hAnsi="宋体"/>
                <w:color w:val="auto"/>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C1C819B">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222F9548">
            <w:pPr>
              <w:topLinePunct/>
              <w:spacing w:line="440" w:lineRule="exact"/>
              <w:jc w:val="center"/>
              <w:rPr>
                <w:rFonts w:ascii="宋体" w:hAnsi="宋体"/>
                <w:color w:val="auto"/>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3980C6CF">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8CE9EC6">
            <w:pPr>
              <w:topLinePunct/>
              <w:spacing w:line="440" w:lineRule="exact"/>
              <w:jc w:val="center"/>
              <w:rPr>
                <w:rFonts w:ascii="宋体" w:hAnsi="宋体"/>
                <w:color w:val="auto"/>
                <w:sz w:val="24"/>
                <w:szCs w:val="24"/>
                <w:highlight w:val="none"/>
              </w:rPr>
            </w:pPr>
          </w:p>
        </w:tc>
      </w:tr>
      <w:tr w14:paraId="789298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E2BC336">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8C16EB0">
            <w:pPr>
              <w:topLinePunct/>
              <w:spacing w:line="440" w:lineRule="exact"/>
              <w:jc w:val="center"/>
              <w:rPr>
                <w:rFonts w:ascii="宋体" w:hAnsi="宋体"/>
                <w:color w:val="auto"/>
                <w:sz w:val="24"/>
                <w:szCs w:val="24"/>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02A20DB7">
            <w:pPr>
              <w:topLinePunct/>
              <w:spacing w:line="440" w:lineRule="exact"/>
              <w:ind w:firstLine="120" w:firstLineChars="50"/>
              <w:jc w:val="center"/>
              <w:rPr>
                <w:rFonts w:ascii="宋体" w:hAnsi="宋体"/>
                <w:color w:val="auto"/>
                <w:sz w:val="24"/>
                <w:szCs w:val="24"/>
                <w:highlight w:val="none"/>
              </w:rPr>
            </w:pPr>
            <w:r>
              <w:rPr>
                <w:rFonts w:ascii="宋体" w:hAnsi="宋体"/>
                <w:color w:val="auto"/>
                <w:sz w:val="24"/>
                <w:szCs w:val="24"/>
                <w:highlight w:val="none"/>
              </w:rPr>
              <w:t>员工总人数：</w:t>
            </w:r>
          </w:p>
        </w:tc>
      </w:tr>
      <w:tr w14:paraId="40864D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7" w:hRule="atLeast"/>
          <w:jc w:val="center"/>
        </w:trPr>
        <w:tc>
          <w:tcPr>
            <w:tcW w:w="1728" w:type="dxa"/>
            <w:tcBorders>
              <w:top w:val="single" w:color="auto" w:sz="4" w:space="0"/>
              <w:left w:val="single" w:color="auto" w:sz="4" w:space="0"/>
              <w:right w:val="single" w:color="auto" w:sz="4" w:space="0"/>
            </w:tcBorders>
            <w:noWrap w:val="0"/>
            <w:vAlign w:val="center"/>
          </w:tcPr>
          <w:p w14:paraId="2F761D15">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企业资质等级</w:t>
            </w:r>
          </w:p>
        </w:tc>
        <w:tc>
          <w:tcPr>
            <w:tcW w:w="1849" w:type="dxa"/>
            <w:gridSpan w:val="2"/>
            <w:tcBorders>
              <w:top w:val="single" w:color="auto" w:sz="4" w:space="0"/>
              <w:left w:val="single" w:color="auto" w:sz="4" w:space="0"/>
              <w:right w:val="single" w:color="auto" w:sz="4" w:space="0"/>
            </w:tcBorders>
            <w:noWrap w:val="0"/>
            <w:vAlign w:val="center"/>
          </w:tcPr>
          <w:p w14:paraId="1638BF1B">
            <w:pPr>
              <w:topLinePunct/>
              <w:spacing w:line="440" w:lineRule="exact"/>
              <w:jc w:val="center"/>
              <w:rPr>
                <w:rFonts w:ascii="宋体" w:hAnsi="宋体"/>
                <w:color w:val="auto"/>
                <w:sz w:val="24"/>
                <w:szCs w:val="24"/>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3456A3C9">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0CB3976">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项目负责人</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84E1E6D">
            <w:pPr>
              <w:topLinePunct/>
              <w:spacing w:line="440" w:lineRule="exact"/>
              <w:jc w:val="center"/>
              <w:rPr>
                <w:rFonts w:ascii="宋体" w:hAnsi="宋体"/>
                <w:color w:val="auto"/>
                <w:sz w:val="24"/>
                <w:szCs w:val="24"/>
                <w:highlight w:val="none"/>
              </w:rPr>
            </w:pPr>
          </w:p>
        </w:tc>
      </w:tr>
      <w:tr w14:paraId="52476A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6988BA0">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88CD6D0">
            <w:pPr>
              <w:topLinePunct/>
              <w:spacing w:line="440" w:lineRule="exact"/>
              <w:jc w:val="center"/>
              <w:rPr>
                <w:rFonts w:ascii="宋体" w:hAnsi="宋体"/>
                <w:color w:val="auto"/>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494498BE">
            <w:pPr>
              <w:topLinePunct/>
              <w:spacing w:line="440" w:lineRule="exact"/>
              <w:jc w:val="center"/>
              <w:rPr>
                <w:rFonts w:ascii="宋体" w:hAnsi="宋体"/>
                <w:color w:val="auto"/>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66203493">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621C1210">
            <w:pPr>
              <w:topLinePunct/>
              <w:spacing w:line="440" w:lineRule="exact"/>
              <w:jc w:val="center"/>
              <w:rPr>
                <w:rFonts w:ascii="宋体" w:hAnsi="宋体"/>
                <w:color w:val="auto"/>
                <w:sz w:val="24"/>
                <w:szCs w:val="24"/>
                <w:highlight w:val="none"/>
              </w:rPr>
            </w:pPr>
          </w:p>
        </w:tc>
      </w:tr>
      <w:tr w14:paraId="796BE5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63CEB0A">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A9D7991">
            <w:pPr>
              <w:topLinePunct/>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（万元）</w:t>
            </w: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829A0FE">
            <w:pPr>
              <w:topLinePunct/>
              <w:spacing w:line="440" w:lineRule="exact"/>
              <w:jc w:val="center"/>
              <w:rPr>
                <w:rFonts w:ascii="宋体" w:hAnsi="宋体"/>
                <w:color w:val="auto"/>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29032626">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1BA6C289">
            <w:pPr>
              <w:topLinePunct/>
              <w:spacing w:line="440" w:lineRule="exact"/>
              <w:jc w:val="center"/>
              <w:rPr>
                <w:rFonts w:ascii="宋体" w:hAnsi="宋体"/>
                <w:color w:val="auto"/>
                <w:sz w:val="24"/>
                <w:szCs w:val="24"/>
                <w:highlight w:val="none"/>
              </w:rPr>
            </w:pPr>
          </w:p>
        </w:tc>
      </w:tr>
      <w:tr w14:paraId="3423BE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0F7F2E5">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0B6F5A23">
            <w:pPr>
              <w:topLinePunct/>
              <w:spacing w:line="440" w:lineRule="exact"/>
              <w:jc w:val="center"/>
              <w:rPr>
                <w:rFonts w:ascii="宋体" w:hAnsi="宋体"/>
                <w:color w:val="auto"/>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0AFBCBD">
            <w:pPr>
              <w:topLinePunct/>
              <w:spacing w:line="440" w:lineRule="exact"/>
              <w:jc w:val="center"/>
              <w:rPr>
                <w:rFonts w:ascii="宋体" w:hAnsi="宋体"/>
                <w:color w:val="auto"/>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115E134">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0E1EA448">
            <w:pPr>
              <w:topLinePunct/>
              <w:spacing w:line="440" w:lineRule="exact"/>
              <w:jc w:val="center"/>
              <w:rPr>
                <w:rFonts w:ascii="宋体" w:hAnsi="宋体"/>
                <w:color w:val="auto"/>
                <w:sz w:val="24"/>
                <w:szCs w:val="24"/>
                <w:highlight w:val="none"/>
              </w:rPr>
            </w:pPr>
          </w:p>
        </w:tc>
      </w:tr>
      <w:tr w14:paraId="2EA9E4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9"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9C0FCC5">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2ACD868">
            <w:pPr>
              <w:topLinePunct/>
              <w:spacing w:line="440" w:lineRule="exact"/>
              <w:jc w:val="center"/>
              <w:rPr>
                <w:rFonts w:ascii="宋体" w:hAnsi="宋体"/>
                <w:color w:val="auto"/>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6D2A023B">
            <w:pPr>
              <w:topLinePunct/>
              <w:spacing w:line="440" w:lineRule="exact"/>
              <w:jc w:val="center"/>
              <w:rPr>
                <w:rFonts w:ascii="宋体" w:hAnsi="宋体"/>
                <w:color w:val="auto"/>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6A2F0006">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技工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A9502F6">
            <w:pPr>
              <w:topLinePunct/>
              <w:spacing w:line="440" w:lineRule="exact"/>
              <w:jc w:val="center"/>
              <w:rPr>
                <w:rFonts w:ascii="宋体" w:hAnsi="宋体"/>
                <w:color w:val="auto"/>
                <w:sz w:val="24"/>
                <w:szCs w:val="24"/>
                <w:highlight w:val="none"/>
              </w:rPr>
            </w:pPr>
          </w:p>
        </w:tc>
      </w:tr>
      <w:tr w14:paraId="728E42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2" w:hRule="atLeast"/>
          <w:jc w:val="center"/>
        </w:trPr>
        <w:tc>
          <w:tcPr>
            <w:tcW w:w="1728" w:type="dxa"/>
            <w:tcBorders>
              <w:top w:val="single" w:color="auto" w:sz="4" w:space="0"/>
              <w:left w:val="single" w:color="auto" w:sz="4" w:space="0"/>
              <w:right w:val="single" w:color="auto" w:sz="4" w:space="0"/>
            </w:tcBorders>
            <w:noWrap w:val="0"/>
            <w:vAlign w:val="center"/>
          </w:tcPr>
          <w:p w14:paraId="235D2E3F">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经营范围</w:t>
            </w:r>
          </w:p>
        </w:tc>
        <w:tc>
          <w:tcPr>
            <w:tcW w:w="6840" w:type="dxa"/>
            <w:gridSpan w:val="9"/>
            <w:tcBorders>
              <w:top w:val="single" w:color="auto" w:sz="4" w:space="0"/>
              <w:left w:val="single" w:color="auto" w:sz="4" w:space="0"/>
              <w:right w:val="single" w:color="auto" w:sz="4" w:space="0"/>
            </w:tcBorders>
            <w:noWrap w:val="0"/>
            <w:vAlign w:val="center"/>
          </w:tcPr>
          <w:p w14:paraId="35896EC3">
            <w:pPr>
              <w:topLinePunct/>
              <w:spacing w:line="440" w:lineRule="exact"/>
              <w:rPr>
                <w:rFonts w:ascii="宋体" w:hAnsi="宋体"/>
                <w:color w:val="auto"/>
                <w:sz w:val="24"/>
                <w:szCs w:val="24"/>
                <w:highlight w:val="none"/>
              </w:rPr>
            </w:pPr>
          </w:p>
        </w:tc>
      </w:tr>
      <w:tr w14:paraId="101499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6D4B5F0B">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投标材料制造商名称</w:t>
            </w:r>
            <w:r>
              <w:rPr>
                <w:rFonts w:hint="eastAsia" w:ascii="宋体" w:hAnsi="宋体"/>
                <w:color w:val="auto"/>
                <w:sz w:val="24"/>
                <w:szCs w:val="24"/>
                <w:highlight w:val="none"/>
              </w:rPr>
              <w:t>（如有）</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185DAC25">
            <w:pPr>
              <w:topLinePunct/>
              <w:spacing w:line="320" w:lineRule="exact"/>
              <w:rPr>
                <w:rFonts w:ascii="宋体" w:hAnsi="宋体"/>
                <w:color w:val="auto"/>
                <w:sz w:val="24"/>
                <w:szCs w:val="24"/>
                <w:highlight w:val="none"/>
              </w:rPr>
            </w:pPr>
          </w:p>
        </w:tc>
      </w:tr>
      <w:tr w14:paraId="7D8693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A2E1BE7">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投标材料制造商</w:t>
            </w:r>
            <w:r>
              <w:rPr>
                <w:rFonts w:hint="eastAsia" w:ascii="宋体" w:hAnsi="宋体"/>
                <w:color w:val="auto"/>
                <w:sz w:val="24"/>
                <w:szCs w:val="24"/>
                <w:highlight w:val="none"/>
              </w:rPr>
              <w:t>资质（如有）</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5A0BFC4">
            <w:pPr>
              <w:topLinePunct/>
              <w:spacing w:line="320" w:lineRule="exact"/>
              <w:rPr>
                <w:rFonts w:ascii="宋体" w:hAnsi="宋体"/>
                <w:color w:val="auto"/>
                <w:sz w:val="24"/>
                <w:szCs w:val="24"/>
                <w:highlight w:val="none"/>
              </w:rPr>
            </w:pPr>
          </w:p>
        </w:tc>
      </w:tr>
      <w:tr w14:paraId="7A41FF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C0B4857">
            <w:pPr>
              <w:topLinePunct/>
              <w:spacing w:line="440" w:lineRule="exact"/>
              <w:jc w:val="center"/>
              <w:rPr>
                <w:rFonts w:ascii="宋体" w:hAnsi="宋体"/>
                <w:color w:val="auto"/>
                <w:sz w:val="24"/>
                <w:szCs w:val="24"/>
                <w:highlight w:val="none"/>
              </w:rPr>
            </w:pPr>
            <w:r>
              <w:rPr>
                <w:rFonts w:ascii="宋体" w:hAnsi="宋体"/>
                <w:color w:val="auto"/>
                <w:sz w:val="24"/>
                <w:szCs w:val="24"/>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08BB8F75">
            <w:pPr>
              <w:topLinePunct/>
              <w:spacing w:line="440" w:lineRule="exact"/>
              <w:jc w:val="left"/>
              <w:rPr>
                <w:rFonts w:ascii="宋体" w:hAnsi="宋体"/>
                <w:color w:val="auto"/>
                <w:sz w:val="24"/>
                <w:szCs w:val="24"/>
                <w:highlight w:val="none"/>
              </w:rPr>
            </w:pPr>
          </w:p>
        </w:tc>
      </w:tr>
    </w:tbl>
    <w:p w14:paraId="1C632378">
      <w:pPr>
        <w:spacing w:line="320" w:lineRule="exact"/>
        <w:ind w:firstLine="360" w:firstLineChars="200"/>
        <w:rPr>
          <w:rFonts w:hint="eastAsia" w:ascii="宋体" w:hAnsi="宋体"/>
          <w:color w:val="auto"/>
          <w:sz w:val="18"/>
          <w:szCs w:val="21"/>
          <w:highlight w:val="none"/>
        </w:rPr>
      </w:pPr>
    </w:p>
    <w:p w14:paraId="22AE10BF">
      <w:pPr>
        <w:spacing w:line="3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注：</w:t>
      </w:r>
    </w:p>
    <w:p w14:paraId="6AE17D73">
      <w:pPr>
        <w:spacing w:line="3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1.表后须附企业营业执照（副本）、企业资质证书（副本）（如有）、企业基本账户的银行开户许可证或银行出具的《基本存款账户信息》（适用于以现金方式提交投标保证金的投标人） 的扫描件并加盖投标人公章。</w:t>
      </w:r>
    </w:p>
    <w:p w14:paraId="7B629EB5">
      <w:pPr>
        <w:spacing w:line="3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2.提供的扫描件资料必须清晰、明辨，否则投标人须自行承担后果。</w:t>
      </w:r>
    </w:p>
    <w:p w14:paraId="1B9812E0">
      <w:pPr>
        <w:spacing w:line="320" w:lineRule="exact"/>
        <w:ind w:firstLine="420" w:firstLineChars="200"/>
        <w:rPr>
          <w:rFonts w:ascii="Times New Roman" w:hAnsi="Times New Roman"/>
          <w:color w:val="auto"/>
          <w:szCs w:val="24"/>
          <w:highlight w:val="none"/>
        </w:rPr>
      </w:pPr>
      <w:r>
        <w:rPr>
          <w:rFonts w:hint="eastAsia" w:ascii="宋体" w:hAnsi="宋体" w:eastAsia="宋体"/>
          <w:color w:val="auto"/>
          <w:szCs w:val="21"/>
          <w:highlight w:val="none"/>
          <w:lang w:val="en-US" w:eastAsia="zh-CN"/>
        </w:rPr>
        <w:t>3</w:t>
      </w:r>
      <w:r>
        <w:rPr>
          <w:rFonts w:hint="eastAsia" w:ascii="宋体" w:hAnsi="宋体"/>
          <w:color w:val="auto"/>
          <w:szCs w:val="21"/>
          <w:highlight w:val="none"/>
        </w:rPr>
        <w:t>.投标人在本表之外的地方重复上传本表要求的材料，与本表处上传的材料不一致的，以本表处上传的材料为准。</w:t>
      </w:r>
    </w:p>
    <w:p w14:paraId="65DFD252">
      <w:pPr>
        <w:keepNext w:val="0"/>
        <w:keepLines w:val="0"/>
        <w:numPr>
          <w:ilvl w:val="0"/>
          <w:numId w:val="0"/>
        </w:numPr>
        <w:spacing w:line="320" w:lineRule="exact"/>
        <w:ind w:firstLine="420" w:firstLineChars="200"/>
        <w:jc w:val="center"/>
        <w:outlineLvl w:val="9"/>
        <w:rPr>
          <w:b/>
          <w:bCs/>
          <w:color w:val="auto"/>
          <w:sz w:val="32"/>
          <w:szCs w:val="32"/>
          <w:highlight w:val="none"/>
        </w:rPr>
      </w:pPr>
      <w:r>
        <w:rPr>
          <w:rFonts w:hint="eastAsia" w:ascii="Times New Roman" w:hAnsi="Times New Roman"/>
          <w:b/>
          <w:bCs/>
          <w:color w:val="auto"/>
          <w:szCs w:val="32"/>
          <w:highlight w:val="none"/>
        </w:rPr>
        <w:br w:type="page"/>
      </w:r>
      <w:r>
        <w:rPr>
          <w:rFonts w:hint="eastAsia" w:ascii="黑体" w:hAnsi="黑体" w:eastAsia="黑体" w:cs="黑体"/>
          <w:b w:val="0"/>
          <w:bCs/>
          <w:color w:val="auto"/>
          <w:sz w:val="30"/>
          <w:szCs w:val="30"/>
          <w:highlight w:val="none"/>
        </w:rPr>
        <w:t>附表二 项目管理团队配备情况表（如有）</w:t>
      </w:r>
    </w:p>
    <w:tbl>
      <w:tblPr>
        <w:tblStyle w:val="17"/>
        <w:tblW w:w="91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031"/>
        <w:gridCol w:w="1031"/>
        <w:gridCol w:w="1179"/>
        <w:gridCol w:w="712"/>
        <w:gridCol w:w="780"/>
        <w:gridCol w:w="705"/>
        <w:gridCol w:w="2003"/>
        <w:gridCol w:w="764"/>
      </w:tblGrid>
      <w:tr w14:paraId="2BE1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962" w:type="dxa"/>
            <w:vMerge w:val="restart"/>
            <w:noWrap w:val="0"/>
            <w:vAlign w:val="center"/>
          </w:tcPr>
          <w:p w14:paraId="4B91B310">
            <w:pPr>
              <w:spacing w:line="440" w:lineRule="exact"/>
              <w:jc w:val="center"/>
              <w:rPr>
                <w:rFonts w:ascii="宋体" w:hAnsi="宋体"/>
                <w:color w:val="auto"/>
                <w:sz w:val="24"/>
                <w:szCs w:val="24"/>
                <w:highlight w:val="none"/>
              </w:rPr>
            </w:pPr>
            <w:r>
              <w:rPr>
                <w:rFonts w:ascii="宋体" w:hAnsi="宋体"/>
                <w:color w:val="auto"/>
                <w:sz w:val="24"/>
                <w:szCs w:val="24"/>
                <w:highlight w:val="none"/>
              </w:rPr>
              <w:t>职务</w:t>
            </w:r>
          </w:p>
        </w:tc>
        <w:tc>
          <w:tcPr>
            <w:tcW w:w="1031" w:type="dxa"/>
            <w:vMerge w:val="restart"/>
            <w:noWrap w:val="0"/>
            <w:vAlign w:val="center"/>
          </w:tcPr>
          <w:p w14:paraId="623081DE">
            <w:pPr>
              <w:spacing w:line="440" w:lineRule="exact"/>
              <w:jc w:val="center"/>
              <w:rPr>
                <w:rFonts w:ascii="宋体" w:hAnsi="宋体"/>
                <w:color w:val="auto"/>
                <w:sz w:val="24"/>
                <w:szCs w:val="24"/>
                <w:highlight w:val="none"/>
              </w:rPr>
            </w:pPr>
            <w:r>
              <w:rPr>
                <w:rFonts w:ascii="宋体" w:hAnsi="宋体"/>
                <w:color w:val="auto"/>
                <w:sz w:val="24"/>
                <w:szCs w:val="24"/>
                <w:highlight w:val="none"/>
              </w:rPr>
              <w:t>姓名</w:t>
            </w:r>
          </w:p>
        </w:tc>
        <w:tc>
          <w:tcPr>
            <w:tcW w:w="1031" w:type="dxa"/>
            <w:vMerge w:val="restart"/>
            <w:noWrap w:val="0"/>
            <w:vAlign w:val="center"/>
          </w:tcPr>
          <w:p w14:paraId="4150A10F">
            <w:pPr>
              <w:spacing w:line="440" w:lineRule="exact"/>
              <w:jc w:val="center"/>
              <w:rPr>
                <w:rFonts w:ascii="宋体" w:hAnsi="宋体"/>
                <w:color w:val="auto"/>
                <w:sz w:val="24"/>
                <w:szCs w:val="24"/>
                <w:highlight w:val="none"/>
              </w:rPr>
            </w:pPr>
            <w:r>
              <w:rPr>
                <w:rFonts w:ascii="宋体" w:hAnsi="宋体"/>
                <w:color w:val="auto"/>
                <w:sz w:val="24"/>
                <w:szCs w:val="24"/>
                <w:highlight w:val="none"/>
              </w:rPr>
              <w:t>职称</w:t>
            </w:r>
          </w:p>
        </w:tc>
        <w:tc>
          <w:tcPr>
            <w:tcW w:w="5379" w:type="dxa"/>
            <w:gridSpan w:val="5"/>
            <w:noWrap w:val="0"/>
            <w:vAlign w:val="center"/>
          </w:tcPr>
          <w:p w14:paraId="06EB36D9">
            <w:pPr>
              <w:spacing w:line="440" w:lineRule="exact"/>
              <w:jc w:val="center"/>
              <w:rPr>
                <w:rFonts w:ascii="宋体" w:hAnsi="宋体"/>
                <w:color w:val="auto"/>
                <w:sz w:val="24"/>
                <w:szCs w:val="24"/>
                <w:highlight w:val="none"/>
              </w:rPr>
            </w:pPr>
            <w:r>
              <w:rPr>
                <w:rFonts w:ascii="宋体" w:hAnsi="宋体"/>
                <w:color w:val="auto"/>
                <w:sz w:val="24"/>
                <w:szCs w:val="24"/>
                <w:highlight w:val="none"/>
              </w:rPr>
              <w:t>执业或职业资格证明</w:t>
            </w:r>
          </w:p>
        </w:tc>
        <w:tc>
          <w:tcPr>
            <w:tcW w:w="764" w:type="dxa"/>
            <w:noWrap w:val="0"/>
            <w:vAlign w:val="center"/>
          </w:tcPr>
          <w:p w14:paraId="55FDFB22">
            <w:pPr>
              <w:spacing w:line="440" w:lineRule="exact"/>
              <w:jc w:val="center"/>
              <w:rPr>
                <w:rFonts w:ascii="宋体" w:hAnsi="宋体"/>
                <w:color w:val="auto"/>
                <w:sz w:val="24"/>
                <w:szCs w:val="24"/>
                <w:highlight w:val="none"/>
              </w:rPr>
            </w:pPr>
            <w:r>
              <w:rPr>
                <w:rFonts w:ascii="宋体" w:hAnsi="宋体"/>
                <w:color w:val="auto"/>
                <w:sz w:val="24"/>
                <w:szCs w:val="24"/>
                <w:highlight w:val="none"/>
              </w:rPr>
              <w:t>备注</w:t>
            </w:r>
          </w:p>
        </w:tc>
      </w:tr>
      <w:tr w14:paraId="3E92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962" w:type="dxa"/>
            <w:vMerge w:val="continue"/>
            <w:noWrap w:val="0"/>
            <w:vAlign w:val="center"/>
          </w:tcPr>
          <w:p w14:paraId="51094384">
            <w:pPr>
              <w:spacing w:line="440" w:lineRule="exact"/>
              <w:jc w:val="center"/>
              <w:rPr>
                <w:rFonts w:ascii="宋体" w:hAnsi="宋体"/>
                <w:color w:val="auto"/>
                <w:sz w:val="24"/>
                <w:szCs w:val="24"/>
                <w:highlight w:val="none"/>
              </w:rPr>
            </w:pPr>
          </w:p>
        </w:tc>
        <w:tc>
          <w:tcPr>
            <w:tcW w:w="1031" w:type="dxa"/>
            <w:vMerge w:val="continue"/>
            <w:noWrap w:val="0"/>
            <w:vAlign w:val="center"/>
          </w:tcPr>
          <w:p w14:paraId="3B7F58EB">
            <w:pPr>
              <w:spacing w:line="440" w:lineRule="exact"/>
              <w:jc w:val="center"/>
              <w:rPr>
                <w:rFonts w:ascii="宋体" w:hAnsi="宋体"/>
                <w:color w:val="auto"/>
                <w:sz w:val="24"/>
                <w:szCs w:val="24"/>
                <w:highlight w:val="none"/>
              </w:rPr>
            </w:pPr>
          </w:p>
        </w:tc>
        <w:tc>
          <w:tcPr>
            <w:tcW w:w="1031" w:type="dxa"/>
            <w:vMerge w:val="continue"/>
            <w:noWrap w:val="0"/>
            <w:vAlign w:val="center"/>
          </w:tcPr>
          <w:p w14:paraId="1BF53484">
            <w:pPr>
              <w:spacing w:line="440" w:lineRule="exact"/>
              <w:jc w:val="center"/>
              <w:rPr>
                <w:rFonts w:ascii="宋体" w:hAnsi="宋体"/>
                <w:color w:val="auto"/>
                <w:sz w:val="24"/>
                <w:szCs w:val="24"/>
                <w:highlight w:val="none"/>
              </w:rPr>
            </w:pPr>
          </w:p>
        </w:tc>
        <w:tc>
          <w:tcPr>
            <w:tcW w:w="1179" w:type="dxa"/>
            <w:noWrap w:val="0"/>
            <w:vAlign w:val="center"/>
          </w:tcPr>
          <w:p w14:paraId="69EDB23B">
            <w:pPr>
              <w:spacing w:line="440" w:lineRule="exact"/>
              <w:jc w:val="center"/>
              <w:rPr>
                <w:rFonts w:ascii="宋体" w:hAnsi="宋体"/>
                <w:color w:val="auto"/>
                <w:sz w:val="24"/>
                <w:szCs w:val="24"/>
                <w:highlight w:val="none"/>
              </w:rPr>
            </w:pPr>
            <w:r>
              <w:rPr>
                <w:rFonts w:ascii="宋体" w:hAnsi="宋体"/>
                <w:color w:val="auto"/>
                <w:sz w:val="24"/>
                <w:szCs w:val="24"/>
                <w:highlight w:val="none"/>
              </w:rPr>
              <w:t>证书名称</w:t>
            </w:r>
          </w:p>
        </w:tc>
        <w:tc>
          <w:tcPr>
            <w:tcW w:w="712" w:type="dxa"/>
            <w:noWrap w:val="0"/>
            <w:vAlign w:val="center"/>
          </w:tcPr>
          <w:p w14:paraId="312AF34A">
            <w:pPr>
              <w:spacing w:line="440" w:lineRule="exact"/>
              <w:jc w:val="center"/>
              <w:rPr>
                <w:rFonts w:ascii="宋体" w:hAnsi="宋体"/>
                <w:color w:val="auto"/>
                <w:sz w:val="24"/>
                <w:szCs w:val="24"/>
                <w:highlight w:val="none"/>
              </w:rPr>
            </w:pPr>
            <w:r>
              <w:rPr>
                <w:rFonts w:ascii="宋体" w:hAnsi="宋体"/>
                <w:color w:val="auto"/>
                <w:sz w:val="24"/>
                <w:szCs w:val="24"/>
                <w:highlight w:val="none"/>
              </w:rPr>
              <w:t>级别</w:t>
            </w:r>
          </w:p>
        </w:tc>
        <w:tc>
          <w:tcPr>
            <w:tcW w:w="780" w:type="dxa"/>
            <w:noWrap w:val="0"/>
            <w:vAlign w:val="center"/>
          </w:tcPr>
          <w:p w14:paraId="4D23AABF">
            <w:pPr>
              <w:spacing w:line="440" w:lineRule="exact"/>
              <w:jc w:val="center"/>
              <w:rPr>
                <w:rFonts w:ascii="宋体" w:hAnsi="宋体"/>
                <w:color w:val="auto"/>
                <w:sz w:val="24"/>
                <w:szCs w:val="24"/>
                <w:highlight w:val="none"/>
              </w:rPr>
            </w:pPr>
            <w:r>
              <w:rPr>
                <w:rFonts w:ascii="宋体" w:hAnsi="宋体"/>
                <w:color w:val="auto"/>
                <w:sz w:val="24"/>
                <w:szCs w:val="24"/>
                <w:highlight w:val="none"/>
              </w:rPr>
              <w:t>证号</w:t>
            </w:r>
          </w:p>
        </w:tc>
        <w:tc>
          <w:tcPr>
            <w:tcW w:w="705" w:type="dxa"/>
            <w:noWrap w:val="0"/>
            <w:vAlign w:val="center"/>
          </w:tcPr>
          <w:p w14:paraId="2AB20178">
            <w:pPr>
              <w:spacing w:line="440" w:lineRule="exact"/>
              <w:jc w:val="center"/>
              <w:rPr>
                <w:rFonts w:ascii="宋体" w:hAnsi="宋体"/>
                <w:color w:val="auto"/>
                <w:sz w:val="24"/>
                <w:szCs w:val="24"/>
                <w:highlight w:val="none"/>
              </w:rPr>
            </w:pPr>
            <w:r>
              <w:rPr>
                <w:rFonts w:ascii="宋体" w:hAnsi="宋体"/>
                <w:color w:val="auto"/>
                <w:sz w:val="24"/>
                <w:szCs w:val="24"/>
                <w:highlight w:val="none"/>
              </w:rPr>
              <w:t>专业</w:t>
            </w:r>
          </w:p>
        </w:tc>
        <w:tc>
          <w:tcPr>
            <w:tcW w:w="2003" w:type="dxa"/>
            <w:noWrap w:val="0"/>
            <w:vAlign w:val="center"/>
          </w:tcPr>
          <w:p w14:paraId="3D105748">
            <w:pPr>
              <w:spacing w:line="440" w:lineRule="exact"/>
              <w:jc w:val="center"/>
              <w:rPr>
                <w:rFonts w:ascii="宋体" w:hAnsi="宋体"/>
                <w:color w:val="auto"/>
                <w:sz w:val="24"/>
                <w:szCs w:val="24"/>
                <w:highlight w:val="none"/>
              </w:rPr>
            </w:pPr>
            <w:r>
              <w:rPr>
                <w:rFonts w:ascii="宋体" w:hAnsi="宋体"/>
                <w:color w:val="auto"/>
                <w:sz w:val="24"/>
                <w:szCs w:val="24"/>
                <w:highlight w:val="none"/>
              </w:rPr>
              <w:t>养老保险</w:t>
            </w:r>
            <w:r>
              <w:rPr>
                <w:rFonts w:hint="eastAsia" w:ascii="宋体" w:hAnsi="宋体"/>
                <w:color w:val="auto"/>
                <w:sz w:val="24"/>
                <w:szCs w:val="24"/>
                <w:highlight w:val="none"/>
              </w:rPr>
              <w:t>号</w:t>
            </w:r>
          </w:p>
        </w:tc>
        <w:tc>
          <w:tcPr>
            <w:tcW w:w="764" w:type="dxa"/>
            <w:noWrap w:val="0"/>
            <w:vAlign w:val="center"/>
          </w:tcPr>
          <w:p w14:paraId="534EC147">
            <w:pPr>
              <w:spacing w:line="440" w:lineRule="exact"/>
              <w:jc w:val="center"/>
              <w:rPr>
                <w:rFonts w:ascii="宋体" w:hAnsi="宋体"/>
                <w:color w:val="auto"/>
                <w:sz w:val="24"/>
                <w:szCs w:val="24"/>
                <w:highlight w:val="none"/>
              </w:rPr>
            </w:pPr>
          </w:p>
        </w:tc>
      </w:tr>
      <w:tr w14:paraId="4854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2" w:type="dxa"/>
            <w:noWrap w:val="0"/>
            <w:vAlign w:val="center"/>
          </w:tcPr>
          <w:p w14:paraId="6F35DDB1">
            <w:pPr>
              <w:spacing w:line="440" w:lineRule="exact"/>
              <w:jc w:val="center"/>
              <w:rPr>
                <w:rFonts w:hint="eastAsia" w:ascii="宋体" w:hAnsi="宋体"/>
                <w:color w:val="auto"/>
                <w:sz w:val="24"/>
                <w:szCs w:val="24"/>
                <w:highlight w:val="none"/>
              </w:rPr>
            </w:pPr>
          </w:p>
        </w:tc>
        <w:tc>
          <w:tcPr>
            <w:tcW w:w="1031" w:type="dxa"/>
            <w:noWrap w:val="0"/>
            <w:vAlign w:val="center"/>
          </w:tcPr>
          <w:p w14:paraId="2D8B50E1">
            <w:pPr>
              <w:spacing w:line="440" w:lineRule="exact"/>
              <w:jc w:val="center"/>
              <w:rPr>
                <w:rFonts w:ascii="宋体" w:hAnsi="宋体"/>
                <w:color w:val="auto"/>
                <w:sz w:val="24"/>
                <w:szCs w:val="24"/>
                <w:highlight w:val="none"/>
              </w:rPr>
            </w:pPr>
          </w:p>
        </w:tc>
        <w:tc>
          <w:tcPr>
            <w:tcW w:w="1031" w:type="dxa"/>
            <w:noWrap w:val="0"/>
            <w:vAlign w:val="center"/>
          </w:tcPr>
          <w:p w14:paraId="0EC9ECAE">
            <w:pPr>
              <w:spacing w:line="440" w:lineRule="exact"/>
              <w:jc w:val="center"/>
              <w:rPr>
                <w:rFonts w:ascii="宋体" w:hAnsi="宋体"/>
                <w:color w:val="auto"/>
                <w:sz w:val="24"/>
                <w:szCs w:val="24"/>
                <w:highlight w:val="none"/>
              </w:rPr>
            </w:pPr>
          </w:p>
        </w:tc>
        <w:tc>
          <w:tcPr>
            <w:tcW w:w="1179" w:type="dxa"/>
            <w:noWrap w:val="0"/>
            <w:vAlign w:val="center"/>
          </w:tcPr>
          <w:p w14:paraId="6D045053">
            <w:pPr>
              <w:spacing w:line="440" w:lineRule="exact"/>
              <w:jc w:val="center"/>
              <w:rPr>
                <w:rFonts w:ascii="宋体" w:hAnsi="宋体"/>
                <w:color w:val="auto"/>
                <w:sz w:val="24"/>
                <w:szCs w:val="24"/>
                <w:highlight w:val="none"/>
              </w:rPr>
            </w:pPr>
          </w:p>
        </w:tc>
        <w:tc>
          <w:tcPr>
            <w:tcW w:w="712" w:type="dxa"/>
            <w:noWrap w:val="0"/>
            <w:vAlign w:val="center"/>
          </w:tcPr>
          <w:p w14:paraId="43939F38">
            <w:pPr>
              <w:spacing w:line="440" w:lineRule="exact"/>
              <w:jc w:val="center"/>
              <w:rPr>
                <w:rFonts w:ascii="宋体" w:hAnsi="宋体"/>
                <w:color w:val="auto"/>
                <w:sz w:val="24"/>
                <w:szCs w:val="24"/>
                <w:highlight w:val="none"/>
              </w:rPr>
            </w:pPr>
          </w:p>
        </w:tc>
        <w:tc>
          <w:tcPr>
            <w:tcW w:w="780" w:type="dxa"/>
            <w:noWrap w:val="0"/>
            <w:vAlign w:val="center"/>
          </w:tcPr>
          <w:p w14:paraId="666B96A6">
            <w:pPr>
              <w:spacing w:line="440" w:lineRule="exact"/>
              <w:jc w:val="center"/>
              <w:rPr>
                <w:rFonts w:ascii="宋体" w:hAnsi="宋体"/>
                <w:color w:val="auto"/>
                <w:sz w:val="24"/>
                <w:szCs w:val="24"/>
                <w:highlight w:val="none"/>
              </w:rPr>
            </w:pPr>
          </w:p>
        </w:tc>
        <w:tc>
          <w:tcPr>
            <w:tcW w:w="705" w:type="dxa"/>
            <w:noWrap w:val="0"/>
            <w:vAlign w:val="center"/>
          </w:tcPr>
          <w:p w14:paraId="0633A546">
            <w:pPr>
              <w:spacing w:line="440" w:lineRule="exact"/>
              <w:jc w:val="center"/>
              <w:rPr>
                <w:rFonts w:ascii="宋体" w:hAnsi="宋体"/>
                <w:color w:val="auto"/>
                <w:sz w:val="24"/>
                <w:szCs w:val="24"/>
                <w:highlight w:val="none"/>
              </w:rPr>
            </w:pPr>
          </w:p>
        </w:tc>
        <w:tc>
          <w:tcPr>
            <w:tcW w:w="2003" w:type="dxa"/>
            <w:noWrap w:val="0"/>
            <w:vAlign w:val="center"/>
          </w:tcPr>
          <w:p w14:paraId="15AF0633">
            <w:pPr>
              <w:spacing w:line="440" w:lineRule="exact"/>
              <w:jc w:val="center"/>
              <w:rPr>
                <w:rFonts w:ascii="宋体" w:hAnsi="宋体"/>
                <w:color w:val="auto"/>
                <w:sz w:val="24"/>
                <w:szCs w:val="24"/>
                <w:highlight w:val="none"/>
              </w:rPr>
            </w:pPr>
          </w:p>
        </w:tc>
        <w:tc>
          <w:tcPr>
            <w:tcW w:w="764" w:type="dxa"/>
            <w:noWrap w:val="0"/>
            <w:vAlign w:val="center"/>
          </w:tcPr>
          <w:p w14:paraId="59626346">
            <w:pPr>
              <w:spacing w:line="440" w:lineRule="exact"/>
              <w:jc w:val="center"/>
              <w:rPr>
                <w:rFonts w:ascii="宋体" w:hAnsi="宋体"/>
                <w:color w:val="auto"/>
                <w:sz w:val="24"/>
                <w:szCs w:val="24"/>
                <w:highlight w:val="none"/>
              </w:rPr>
            </w:pPr>
          </w:p>
        </w:tc>
      </w:tr>
      <w:tr w14:paraId="5E46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2" w:type="dxa"/>
            <w:noWrap w:val="0"/>
            <w:vAlign w:val="top"/>
          </w:tcPr>
          <w:p w14:paraId="447A744D">
            <w:pPr>
              <w:spacing w:line="440" w:lineRule="exact"/>
              <w:jc w:val="center"/>
              <w:rPr>
                <w:rFonts w:ascii="宋体" w:hAnsi="宋体"/>
                <w:color w:val="auto"/>
                <w:sz w:val="24"/>
                <w:szCs w:val="24"/>
                <w:highlight w:val="none"/>
              </w:rPr>
            </w:pPr>
          </w:p>
        </w:tc>
        <w:tc>
          <w:tcPr>
            <w:tcW w:w="1031" w:type="dxa"/>
            <w:noWrap w:val="0"/>
            <w:vAlign w:val="top"/>
          </w:tcPr>
          <w:p w14:paraId="1920DED3">
            <w:pPr>
              <w:spacing w:line="440" w:lineRule="exact"/>
              <w:jc w:val="center"/>
              <w:rPr>
                <w:rFonts w:ascii="宋体" w:hAnsi="宋体"/>
                <w:color w:val="auto"/>
                <w:sz w:val="24"/>
                <w:szCs w:val="24"/>
                <w:highlight w:val="none"/>
              </w:rPr>
            </w:pPr>
          </w:p>
        </w:tc>
        <w:tc>
          <w:tcPr>
            <w:tcW w:w="1031" w:type="dxa"/>
            <w:noWrap w:val="0"/>
            <w:vAlign w:val="top"/>
          </w:tcPr>
          <w:p w14:paraId="11F69D78">
            <w:pPr>
              <w:spacing w:line="440" w:lineRule="exact"/>
              <w:jc w:val="center"/>
              <w:rPr>
                <w:rFonts w:ascii="宋体" w:hAnsi="宋体"/>
                <w:color w:val="auto"/>
                <w:sz w:val="24"/>
                <w:szCs w:val="24"/>
                <w:highlight w:val="none"/>
              </w:rPr>
            </w:pPr>
          </w:p>
        </w:tc>
        <w:tc>
          <w:tcPr>
            <w:tcW w:w="1179" w:type="dxa"/>
            <w:noWrap w:val="0"/>
            <w:vAlign w:val="top"/>
          </w:tcPr>
          <w:p w14:paraId="4F0EEF32">
            <w:pPr>
              <w:spacing w:line="440" w:lineRule="exact"/>
              <w:jc w:val="center"/>
              <w:rPr>
                <w:rFonts w:ascii="宋体" w:hAnsi="宋体"/>
                <w:color w:val="auto"/>
                <w:sz w:val="24"/>
                <w:szCs w:val="24"/>
                <w:highlight w:val="none"/>
              </w:rPr>
            </w:pPr>
          </w:p>
        </w:tc>
        <w:tc>
          <w:tcPr>
            <w:tcW w:w="712" w:type="dxa"/>
            <w:noWrap w:val="0"/>
            <w:vAlign w:val="top"/>
          </w:tcPr>
          <w:p w14:paraId="37833B74">
            <w:pPr>
              <w:spacing w:line="440" w:lineRule="exact"/>
              <w:jc w:val="center"/>
              <w:rPr>
                <w:rFonts w:ascii="宋体" w:hAnsi="宋体"/>
                <w:color w:val="auto"/>
                <w:sz w:val="24"/>
                <w:szCs w:val="24"/>
                <w:highlight w:val="none"/>
              </w:rPr>
            </w:pPr>
          </w:p>
        </w:tc>
        <w:tc>
          <w:tcPr>
            <w:tcW w:w="780" w:type="dxa"/>
            <w:noWrap w:val="0"/>
            <w:vAlign w:val="top"/>
          </w:tcPr>
          <w:p w14:paraId="527AC0F3">
            <w:pPr>
              <w:spacing w:line="440" w:lineRule="exact"/>
              <w:jc w:val="center"/>
              <w:rPr>
                <w:rFonts w:ascii="宋体" w:hAnsi="宋体"/>
                <w:color w:val="auto"/>
                <w:sz w:val="24"/>
                <w:szCs w:val="24"/>
                <w:highlight w:val="none"/>
              </w:rPr>
            </w:pPr>
          </w:p>
        </w:tc>
        <w:tc>
          <w:tcPr>
            <w:tcW w:w="705" w:type="dxa"/>
            <w:noWrap w:val="0"/>
            <w:vAlign w:val="top"/>
          </w:tcPr>
          <w:p w14:paraId="3CB3E411">
            <w:pPr>
              <w:spacing w:line="440" w:lineRule="exact"/>
              <w:jc w:val="center"/>
              <w:rPr>
                <w:rFonts w:ascii="宋体" w:hAnsi="宋体"/>
                <w:color w:val="auto"/>
                <w:sz w:val="24"/>
                <w:szCs w:val="24"/>
                <w:highlight w:val="none"/>
              </w:rPr>
            </w:pPr>
          </w:p>
        </w:tc>
        <w:tc>
          <w:tcPr>
            <w:tcW w:w="2003" w:type="dxa"/>
            <w:noWrap w:val="0"/>
            <w:vAlign w:val="top"/>
          </w:tcPr>
          <w:p w14:paraId="777C0054">
            <w:pPr>
              <w:spacing w:line="440" w:lineRule="exact"/>
              <w:jc w:val="center"/>
              <w:rPr>
                <w:rFonts w:ascii="宋体" w:hAnsi="宋体"/>
                <w:color w:val="auto"/>
                <w:sz w:val="24"/>
                <w:szCs w:val="24"/>
                <w:highlight w:val="none"/>
              </w:rPr>
            </w:pPr>
          </w:p>
        </w:tc>
        <w:tc>
          <w:tcPr>
            <w:tcW w:w="764" w:type="dxa"/>
            <w:noWrap w:val="0"/>
            <w:vAlign w:val="top"/>
          </w:tcPr>
          <w:p w14:paraId="7D008E35">
            <w:pPr>
              <w:spacing w:line="440" w:lineRule="exact"/>
              <w:jc w:val="center"/>
              <w:rPr>
                <w:rFonts w:ascii="宋体" w:hAnsi="宋体"/>
                <w:color w:val="auto"/>
                <w:sz w:val="24"/>
                <w:szCs w:val="24"/>
                <w:highlight w:val="none"/>
              </w:rPr>
            </w:pPr>
          </w:p>
        </w:tc>
      </w:tr>
      <w:tr w14:paraId="3D654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2" w:type="dxa"/>
            <w:noWrap w:val="0"/>
            <w:vAlign w:val="top"/>
          </w:tcPr>
          <w:p w14:paraId="07564A9A">
            <w:pPr>
              <w:spacing w:line="440" w:lineRule="exact"/>
              <w:jc w:val="center"/>
              <w:rPr>
                <w:rFonts w:ascii="宋体" w:hAnsi="宋体"/>
                <w:color w:val="auto"/>
                <w:sz w:val="24"/>
                <w:szCs w:val="24"/>
                <w:highlight w:val="none"/>
              </w:rPr>
            </w:pPr>
          </w:p>
        </w:tc>
        <w:tc>
          <w:tcPr>
            <w:tcW w:w="1031" w:type="dxa"/>
            <w:noWrap w:val="0"/>
            <w:vAlign w:val="top"/>
          </w:tcPr>
          <w:p w14:paraId="52054EDC">
            <w:pPr>
              <w:spacing w:line="440" w:lineRule="exact"/>
              <w:jc w:val="center"/>
              <w:rPr>
                <w:rFonts w:ascii="宋体" w:hAnsi="宋体"/>
                <w:color w:val="auto"/>
                <w:sz w:val="24"/>
                <w:szCs w:val="24"/>
                <w:highlight w:val="none"/>
              </w:rPr>
            </w:pPr>
          </w:p>
        </w:tc>
        <w:tc>
          <w:tcPr>
            <w:tcW w:w="1031" w:type="dxa"/>
            <w:noWrap w:val="0"/>
            <w:vAlign w:val="top"/>
          </w:tcPr>
          <w:p w14:paraId="53A34473">
            <w:pPr>
              <w:spacing w:line="440" w:lineRule="exact"/>
              <w:jc w:val="center"/>
              <w:rPr>
                <w:rFonts w:ascii="宋体" w:hAnsi="宋体"/>
                <w:color w:val="auto"/>
                <w:sz w:val="24"/>
                <w:szCs w:val="24"/>
                <w:highlight w:val="none"/>
              </w:rPr>
            </w:pPr>
          </w:p>
        </w:tc>
        <w:tc>
          <w:tcPr>
            <w:tcW w:w="1179" w:type="dxa"/>
            <w:noWrap w:val="0"/>
            <w:vAlign w:val="top"/>
          </w:tcPr>
          <w:p w14:paraId="39FE0B61">
            <w:pPr>
              <w:spacing w:line="440" w:lineRule="exact"/>
              <w:jc w:val="center"/>
              <w:rPr>
                <w:rFonts w:ascii="宋体" w:hAnsi="宋体"/>
                <w:color w:val="auto"/>
                <w:sz w:val="24"/>
                <w:szCs w:val="24"/>
                <w:highlight w:val="none"/>
              </w:rPr>
            </w:pPr>
          </w:p>
        </w:tc>
        <w:tc>
          <w:tcPr>
            <w:tcW w:w="712" w:type="dxa"/>
            <w:noWrap w:val="0"/>
            <w:vAlign w:val="top"/>
          </w:tcPr>
          <w:p w14:paraId="7F36D3D0">
            <w:pPr>
              <w:spacing w:line="440" w:lineRule="exact"/>
              <w:jc w:val="center"/>
              <w:rPr>
                <w:rFonts w:ascii="宋体" w:hAnsi="宋体"/>
                <w:color w:val="auto"/>
                <w:sz w:val="24"/>
                <w:szCs w:val="24"/>
                <w:highlight w:val="none"/>
              </w:rPr>
            </w:pPr>
          </w:p>
        </w:tc>
        <w:tc>
          <w:tcPr>
            <w:tcW w:w="780" w:type="dxa"/>
            <w:noWrap w:val="0"/>
            <w:vAlign w:val="top"/>
          </w:tcPr>
          <w:p w14:paraId="009B89FB">
            <w:pPr>
              <w:spacing w:line="440" w:lineRule="exact"/>
              <w:jc w:val="center"/>
              <w:rPr>
                <w:rFonts w:ascii="宋体" w:hAnsi="宋体"/>
                <w:color w:val="auto"/>
                <w:sz w:val="24"/>
                <w:szCs w:val="24"/>
                <w:highlight w:val="none"/>
              </w:rPr>
            </w:pPr>
          </w:p>
        </w:tc>
        <w:tc>
          <w:tcPr>
            <w:tcW w:w="705" w:type="dxa"/>
            <w:noWrap w:val="0"/>
            <w:vAlign w:val="top"/>
          </w:tcPr>
          <w:p w14:paraId="088578B9">
            <w:pPr>
              <w:spacing w:line="440" w:lineRule="exact"/>
              <w:jc w:val="center"/>
              <w:rPr>
                <w:rFonts w:ascii="宋体" w:hAnsi="宋体"/>
                <w:color w:val="auto"/>
                <w:sz w:val="24"/>
                <w:szCs w:val="24"/>
                <w:highlight w:val="none"/>
              </w:rPr>
            </w:pPr>
          </w:p>
        </w:tc>
        <w:tc>
          <w:tcPr>
            <w:tcW w:w="2003" w:type="dxa"/>
            <w:noWrap w:val="0"/>
            <w:vAlign w:val="top"/>
          </w:tcPr>
          <w:p w14:paraId="06E806AF">
            <w:pPr>
              <w:spacing w:line="440" w:lineRule="exact"/>
              <w:jc w:val="center"/>
              <w:rPr>
                <w:rFonts w:ascii="宋体" w:hAnsi="宋体"/>
                <w:color w:val="auto"/>
                <w:sz w:val="24"/>
                <w:szCs w:val="24"/>
                <w:highlight w:val="none"/>
              </w:rPr>
            </w:pPr>
          </w:p>
        </w:tc>
        <w:tc>
          <w:tcPr>
            <w:tcW w:w="764" w:type="dxa"/>
            <w:noWrap w:val="0"/>
            <w:vAlign w:val="top"/>
          </w:tcPr>
          <w:p w14:paraId="15675378">
            <w:pPr>
              <w:spacing w:line="440" w:lineRule="exact"/>
              <w:jc w:val="center"/>
              <w:rPr>
                <w:rFonts w:ascii="宋体" w:hAnsi="宋体"/>
                <w:color w:val="auto"/>
                <w:sz w:val="24"/>
                <w:szCs w:val="24"/>
                <w:highlight w:val="none"/>
              </w:rPr>
            </w:pPr>
          </w:p>
        </w:tc>
      </w:tr>
      <w:tr w14:paraId="17430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2" w:type="dxa"/>
            <w:noWrap w:val="0"/>
            <w:vAlign w:val="top"/>
          </w:tcPr>
          <w:p w14:paraId="64762ABC">
            <w:pPr>
              <w:spacing w:line="440" w:lineRule="exact"/>
              <w:jc w:val="center"/>
              <w:rPr>
                <w:rFonts w:ascii="宋体" w:hAnsi="宋体"/>
                <w:color w:val="auto"/>
                <w:sz w:val="24"/>
                <w:szCs w:val="24"/>
                <w:highlight w:val="none"/>
              </w:rPr>
            </w:pPr>
          </w:p>
        </w:tc>
        <w:tc>
          <w:tcPr>
            <w:tcW w:w="1031" w:type="dxa"/>
            <w:noWrap w:val="0"/>
            <w:vAlign w:val="top"/>
          </w:tcPr>
          <w:p w14:paraId="36940703">
            <w:pPr>
              <w:spacing w:line="440" w:lineRule="exact"/>
              <w:jc w:val="center"/>
              <w:rPr>
                <w:rFonts w:ascii="宋体" w:hAnsi="宋体"/>
                <w:color w:val="auto"/>
                <w:sz w:val="24"/>
                <w:szCs w:val="24"/>
                <w:highlight w:val="none"/>
              </w:rPr>
            </w:pPr>
          </w:p>
        </w:tc>
        <w:tc>
          <w:tcPr>
            <w:tcW w:w="1031" w:type="dxa"/>
            <w:noWrap w:val="0"/>
            <w:vAlign w:val="top"/>
          </w:tcPr>
          <w:p w14:paraId="54C07B8E">
            <w:pPr>
              <w:spacing w:line="440" w:lineRule="exact"/>
              <w:jc w:val="center"/>
              <w:rPr>
                <w:rFonts w:ascii="宋体" w:hAnsi="宋体"/>
                <w:color w:val="auto"/>
                <w:sz w:val="24"/>
                <w:szCs w:val="24"/>
                <w:highlight w:val="none"/>
              </w:rPr>
            </w:pPr>
          </w:p>
        </w:tc>
        <w:tc>
          <w:tcPr>
            <w:tcW w:w="1179" w:type="dxa"/>
            <w:noWrap w:val="0"/>
            <w:vAlign w:val="top"/>
          </w:tcPr>
          <w:p w14:paraId="4E78939F">
            <w:pPr>
              <w:spacing w:line="440" w:lineRule="exact"/>
              <w:jc w:val="center"/>
              <w:rPr>
                <w:rFonts w:ascii="宋体" w:hAnsi="宋体"/>
                <w:color w:val="auto"/>
                <w:sz w:val="24"/>
                <w:szCs w:val="24"/>
                <w:highlight w:val="none"/>
              </w:rPr>
            </w:pPr>
          </w:p>
        </w:tc>
        <w:tc>
          <w:tcPr>
            <w:tcW w:w="712" w:type="dxa"/>
            <w:noWrap w:val="0"/>
            <w:vAlign w:val="top"/>
          </w:tcPr>
          <w:p w14:paraId="543C1CFA">
            <w:pPr>
              <w:spacing w:line="440" w:lineRule="exact"/>
              <w:jc w:val="center"/>
              <w:rPr>
                <w:rFonts w:ascii="宋体" w:hAnsi="宋体"/>
                <w:color w:val="auto"/>
                <w:sz w:val="24"/>
                <w:szCs w:val="24"/>
                <w:highlight w:val="none"/>
              </w:rPr>
            </w:pPr>
          </w:p>
        </w:tc>
        <w:tc>
          <w:tcPr>
            <w:tcW w:w="780" w:type="dxa"/>
            <w:noWrap w:val="0"/>
            <w:vAlign w:val="top"/>
          </w:tcPr>
          <w:p w14:paraId="47782D69">
            <w:pPr>
              <w:spacing w:line="440" w:lineRule="exact"/>
              <w:jc w:val="center"/>
              <w:rPr>
                <w:rFonts w:ascii="宋体" w:hAnsi="宋体"/>
                <w:color w:val="auto"/>
                <w:sz w:val="24"/>
                <w:szCs w:val="24"/>
                <w:highlight w:val="none"/>
              </w:rPr>
            </w:pPr>
          </w:p>
        </w:tc>
        <w:tc>
          <w:tcPr>
            <w:tcW w:w="705" w:type="dxa"/>
            <w:noWrap w:val="0"/>
            <w:vAlign w:val="top"/>
          </w:tcPr>
          <w:p w14:paraId="513416CE">
            <w:pPr>
              <w:spacing w:line="440" w:lineRule="exact"/>
              <w:jc w:val="center"/>
              <w:rPr>
                <w:rFonts w:ascii="宋体" w:hAnsi="宋体"/>
                <w:color w:val="auto"/>
                <w:sz w:val="24"/>
                <w:szCs w:val="24"/>
                <w:highlight w:val="none"/>
              </w:rPr>
            </w:pPr>
          </w:p>
        </w:tc>
        <w:tc>
          <w:tcPr>
            <w:tcW w:w="2003" w:type="dxa"/>
            <w:noWrap w:val="0"/>
            <w:vAlign w:val="top"/>
          </w:tcPr>
          <w:p w14:paraId="1D28058C">
            <w:pPr>
              <w:spacing w:line="440" w:lineRule="exact"/>
              <w:jc w:val="center"/>
              <w:rPr>
                <w:rFonts w:ascii="宋体" w:hAnsi="宋体"/>
                <w:color w:val="auto"/>
                <w:sz w:val="24"/>
                <w:szCs w:val="24"/>
                <w:highlight w:val="none"/>
              </w:rPr>
            </w:pPr>
          </w:p>
        </w:tc>
        <w:tc>
          <w:tcPr>
            <w:tcW w:w="764" w:type="dxa"/>
            <w:noWrap w:val="0"/>
            <w:vAlign w:val="top"/>
          </w:tcPr>
          <w:p w14:paraId="4E81B06F">
            <w:pPr>
              <w:spacing w:line="440" w:lineRule="exact"/>
              <w:jc w:val="center"/>
              <w:rPr>
                <w:rFonts w:ascii="宋体" w:hAnsi="宋体"/>
                <w:color w:val="auto"/>
                <w:sz w:val="24"/>
                <w:szCs w:val="24"/>
                <w:highlight w:val="none"/>
              </w:rPr>
            </w:pPr>
          </w:p>
        </w:tc>
      </w:tr>
      <w:tr w14:paraId="5867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2" w:type="dxa"/>
            <w:noWrap w:val="0"/>
            <w:vAlign w:val="top"/>
          </w:tcPr>
          <w:p w14:paraId="72CECF17">
            <w:pPr>
              <w:spacing w:line="440" w:lineRule="exact"/>
              <w:jc w:val="center"/>
              <w:rPr>
                <w:rFonts w:ascii="宋体" w:hAnsi="宋体"/>
                <w:color w:val="auto"/>
                <w:sz w:val="24"/>
                <w:szCs w:val="24"/>
                <w:highlight w:val="none"/>
              </w:rPr>
            </w:pPr>
          </w:p>
        </w:tc>
        <w:tc>
          <w:tcPr>
            <w:tcW w:w="1031" w:type="dxa"/>
            <w:noWrap w:val="0"/>
            <w:vAlign w:val="top"/>
          </w:tcPr>
          <w:p w14:paraId="52EB60AE">
            <w:pPr>
              <w:spacing w:line="440" w:lineRule="exact"/>
              <w:jc w:val="center"/>
              <w:rPr>
                <w:rFonts w:ascii="宋体" w:hAnsi="宋体"/>
                <w:color w:val="auto"/>
                <w:sz w:val="24"/>
                <w:szCs w:val="24"/>
                <w:highlight w:val="none"/>
              </w:rPr>
            </w:pPr>
          </w:p>
        </w:tc>
        <w:tc>
          <w:tcPr>
            <w:tcW w:w="1031" w:type="dxa"/>
            <w:noWrap w:val="0"/>
            <w:vAlign w:val="top"/>
          </w:tcPr>
          <w:p w14:paraId="12DB809C">
            <w:pPr>
              <w:spacing w:line="440" w:lineRule="exact"/>
              <w:jc w:val="center"/>
              <w:rPr>
                <w:rFonts w:ascii="宋体" w:hAnsi="宋体"/>
                <w:color w:val="auto"/>
                <w:sz w:val="24"/>
                <w:szCs w:val="24"/>
                <w:highlight w:val="none"/>
              </w:rPr>
            </w:pPr>
          </w:p>
        </w:tc>
        <w:tc>
          <w:tcPr>
            <w:tcW w:w="1179" w:type="dxa"/>
            <w:noWrap w:val="0"/>
            <w:vAlign w:val="top"/>
          </w:tcPr>
          <w:p w14:paraId="4BD37EF6">
            <w:pPr>
              <w:spacing w:line="440" w:lineRule="exact"/>
              <w:jc w:val="center"/>
              <w:rPr>
                <w:rFonts w:ascii="宋体" w:hAnsi="宋体"/>
                <w:color w:val="auto"/>
                <w:sz w:val="24"/>
                <w:szCs w:val="24"/>
                <w:highlight w:val="none"/>
              </w:rPr>
            </w:pPr>
          </w:p>
        </w:tc>
        <w:tc>
          <w:tcPr>
            <w:tcW w:w="712" w:type="dxa"/>
            <w:noWrap w:val="0"/>
            <w:vAlign w:val="top"/>
          </w:tcPr>
          <w:p w14:paraId="169AD329">
            <w:pPr>
              <w:spacing w:line="440" w:lineRule="exact"/>
              <w:jc w:val="center"/>
              <w:rPr>
                <w:rFonts w:ascii="宋体" w:hAnsi="宋体"/>
                <w:color w:val="auto"/>
                <w:sz w:val="24"/>
                <w:szCs w:val="24"/>
                <w:highlight w:val="none"/>
              </w:rPr>
            </w:pPr>
          </w:p>
        </w:tc>
        <w:tc>
          <w:tcPr>
            <w:tcW w:w="780" w:type="dxa"/>
            <w:noWrap w:val="0"/>
            <w:vAlign w:val="top"/>
          </w:tcPr>
          <w:p w14:paraId="63701D58">
            <w:pPr>
              <w:spacing w:line="440" w:lineRule="exact"/>
              <w:jc w:val="center"/>
              <w:rPr>
                <w:rFonts w:ascii="宋体" w:hAnsi="宋体"/>
                <w:color w:val="auto"/>
                <w:sz w:val="24"/>
                <w:szCs w:val="24"/>
                <w:highlight w:val="none"/>
              </w:rPr>
            </w:pPr>
          </w:p>
        </w:tc>
        <w:tc>
          <w:tcPr>
            <w:tcW w:w="705" w:type="dxa"/>
            <w:noWrap w:val="0"/>
            <w:vAlign w:val="top"/>
          </w:tcPr>
          <w:p w14:paraId="27184E9A">
            <w:pPr>
              <w:spacing w:line="440" w:lineRule="exact"/>
              <w:jc w:val="center"/>
              <w:rPr>
                <w:rFonts w:ascii="宋体" w:hAnsi="宋体"/>
                <w:color w:val="auto"/>
                <w:sz w:val="24"/>
                <w:szCs w:val="24"/>
                <w:highlight w:val="none"/>
              </w:rPr>
            </w:pPr>
          </w:p>
        </w:tc>
        <w:tc>
          <w:tcPr>
            <w:tcW w:w="2003" w:type="dxa"/>
            <w:noWrap w:val="0"/>
            <w:vAlign w:val="top"/>
          </w:tcPr>
          <w:p w14:paraId="093BC56D">
            <w:pPr>
              <w:spacing w:line="440" w:lineRule="exact"/>
              <w:jc w:val="center"/>
              <w:rPr>
                <w:rFonts w:ascii="宋体" w:hAnsi="宋体"/>
                <w:color w:val="auto"/>
                <w:sz w:val="24"/>
                <w:szCs w:val="24"/>
                <w:highlight w:val="none"/>
              </w:rPr>
            </w:pPr>
          </w:p>
        </w:tc>
        <w:tc>
          <w:tcPr>
            <w:tcW w:w="764" w:type="dxa"/>
            <w:noWrap w:val="0"/>
            <w:vAlign w:val="top"/>
          </w:tcPr>
          <w:p w14:paraId="75B6CBDE">
            <w:pPr>
              <w:spacing w:line="440" w:lineRule="exact"/>
              <w:jc w:val="center"/>
              <w:rPr>
                <w:rFonts w:ascii="宋体" w:hAnsi="宋体"/>
                <w:color w:val="auto"/>
                <w:sz w:val="24"/>
                <w:szCs w:val="24"/>
                <w:highlight w:val="none"/>
              </w:rPr>
            </w:pPr>
          </w:p>
        </w:tc>
      </w:tr>
      <w:tr w14:paraId="31EA5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2" w:type="dxa"/>
            <w:noWrap w:val="0"/>
            <w:vAlign w:val="top"/>
          </w:tcPr>
          <w:p w14:paraId="6838BC9B">
            <w:pPr>
              <w:spacing w:line="440" w:lineRule="exact"/>
              <w:jc w:val="center"/>
              <w:rPr>
                <w:rFonts w:ascii="宋体" w:hAnsi="宋体"/>
                <w:color w:val="auto"/>
                <w:sz w:val="24"/>
                <w:szCs w:val="24"/>
                <w:highlight w:val="none"/>
              </w:rPr>
            </w:pPr>
          </w:p>
        </w:tc>
        <w:tc>
          <w:tcPr>
            <w:tcW w:w="1031" w:type="dxa"/>
            <w:noWrap w:val="0"/>
            <w:vAlign w:val="top"/>
          </w:tcPr>
          <w:p w14:paraId="107811EA">
            <w:pPr>
              <w:spacing w:line="440" w:lineRule="exact"/>
              <w:jc w:val="center"/>
              <w:rPr>
                <w:rFonts w:ascii="宋体" w:hAnsi="宋体"/>
                <w:color w:val="auto"/>
                <w:sz w:val="24"/>
                <w:szCs w:val="24"/>
                <w:highlight w:val="none"/>
              </w:rPr>
            </w:pPr>
          </w:p>
        </w:tc>
        <w:tc>
          <w:tcPr>
            <w:tcW w:w="1031" w:type="dxa"/>
            <w:noWrap w:val="0"/>
            <w:vAlign w:val="top"/>
          </w:tcPr>
          <w:p w14:paraId="4376214B">
            <w:pPr>
              <w:spacing w:line="440" w:lineRule="exact"/>
              <w:jc w:val="center"/>
              <w:rPr>
                <w:rFonts w:ascii="宋体" w:hAnsi="宋体"/>
                <w:color w:val="auto"/>
                <w:sz w:val="24"/>
                <w:szCs w:val="24"/>
                <w:highlight w:val="none"/>
              </w:rPr>
            </w:pPr>
          </w:p>
        </w:tc>
        <w:tc>
          <w:tcPr>
            <w:tcW w:w="1179" w:type="dxa"/>
            <w:noWrap w:val="0"/>
            <w:vAlign w:val="top"/>
          </w:tcPr>
          <w:p w14:paraId="46E6BBAC">
            <w:pPr>
              <w:spacing w:line="440" w:lineRule="exact"/>
              <w:jc w:val="center"/>
              <w:rPr>
                <w:rFonts w:ascii="宋体" w:hAnsi="宋体"/>
                <w:color w:val="auto"/>
                <w:sz w:val="24"/>
                <w:szCs w:val="24"/>
                <w:highlight w:val="none"/>
              </w:rPr>
            </w:pPr>
          </w:p>
        </w:tc>
        <w:tc>
          <w:tcPr>
            <w:tcW w:w="712" w:type="dxa"/>
            <w:noWrap w:val="0"/>
            <w:vAlign w:val="top"/>
          </w:tcPr>
          <w:p w14:paraId="7B2D502F">
            <w:pPr>
              <w:spacing w:line="440" w:lineRule="exact"/>
              <w:jc w:val="center"/>
              <w:rPr>
                <w:rFonts w:ascii="宋体" w:hAnsi="宋体"/>
                <w:color w:val="auto"/>
                <w:sz w:val="24"/>
                <w:szCs w:val="24"/>
                <w:highlight w:val="none"/>
              </w:rPr>
            </w:pPr>
          </w:p>
        </w:tc>
        <w:tc>
          <w:tcPr>
            <w:tcW w:w="780" w:type="dxa"/>
            <w:noWrap w:val="0"/>
            <w:vAlign w:val="top"/>
          </w:tcPr>
          <w:p w14:paraId="1CC78DC0">
            <w:pPr>
              <w:spacing w:line="440" w:lineRule="exact"/>
              <w:jc w:val="center"/>
              <w:rPr>
                <w:rFonts w:ascii="宋体" w:hAnsi="宋体"/>
                <w:color w:val="auto"/>
                <w:sz w:val="24"/>
                <w:szCs w:val="24"/>
                <w:highlight w:val="none"/>
              </w:rPr>
            </w:pPr>
          </w:p>
        </w:tc>
        <w:tc>
          <w:tcPr>
            <w:tcW w:w="705" w:type="dxa"/>
            <w:noWrap w:val="0"/>
            <w:vAlign w:val="top"/>
          </w:tcPr>
          <w:p w14:paraId="15E3F002">
            <w:pPr>
              <w:spacing w:line="440" w:lineRule="exact"/>
              <w:jc w:val="center"/>
              <w:rPr>
                <w:rFonts w:ascii="宋体" w:hAnsi="宋体"/>
                <w:color w:val="auto"/>
                <w:sz w:val="24"/>
                <w:szCs w:val="24"/>
                <w:highlight w:val="none"/>
              </w:rPr>
            </w:pPr>
          </w:p>
        </w:tc>
        <w:tc>
          <w:tcPr>
            <w:tcW w:w="2003" w:type="dxa"/>
            <w:noWrap w:val="0"/>
            <w:vAlign w:val="top"/>
          </w:tcPr>
          <w:p w14:paraId="4288939B">
            <w:pPr>
              <w:spacing w:line="440" w:lineRule="exact"/>
              <w:jc w:val="center"/>
              <w:rPr>
                <w:rFonts w:ascii="宋体" w:hAnsi="宋体"/>
                <w:color w:val="auto"/>
                <w:sz w:val="24"/>
                <w:szCs w:val="24"/>
                <w:highlight w:val="none"/>
              </w:rPr>
            </w:pPr>
          </w:p>
        </w:tc>
        <w:tc>
          <w:tcPr>
            <w:tcW w:w="764" w:type="dxa"/>
            <w:noWrap w:val="0"/>
            <w:vAlign w:val="top"/>
          </w:tcPr>
          <w:p w14:paraId="30244F4F">
            <w:pPr>
              <w:spacing w:line="440" w:lineRule="exact"/>
              <w:jc w:val="center"/>
              <w:rPr>
                <w:rFonts w:ascii="宋体" w:hAnsi="宋体"/>
                <w:color w:val="auto"/>
                <w:sz w:val="24"/>
                <w:szCs w:val="24"/>
                <w:highlight w:val="none"/>
              </w:rPr>
            </w:pPr>
          </w:p>
        </w:tc>
      </w:tr>
      <w:tr w14:paraId="00B4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2" w:type="dxa"/>
            <w:noWrap w:val="0"/>
            <w:vAlign w:val="top"/>
          </w:tcPr>
          <w:p w14:paraId="35C97743">
            <w:pPr>
              <w:spacing w:line="440" w:lineRule="exact"/>
              <w:jc w:val="center"/>
              <w:rPr>
                <w:rFonts w:ascii="宋体" w:hAnsi="宋体"/>
                <w:color w:val="auto"/>
                <w:sz w:val="24"/>
                <w:szCs w:val="24"/>
                <w:highlight w:val="none"/>
              </w:rPr>
            </w:pPr>
          </w:p>
        </w:tc>
        <w:tc>
          <w:tcPr>
            <w:tcW w:w="1031" w:type="dxa"/>
            <w:noWrap w:val="0"/>
            <w:vAlign w:val="top"/>
          </w:tcPr>
          <w:p w14:paraId="736F9E62">
            <w:pPr>
              <w:spacing w:line="440" w:lineRule="exact"/>
              <w:jc w:val="center"/>
              <w:rPr>
                <w:rFonts w:ascii="宋体" w:hAnsi="宋体"/>
                <w:color w:val="auto"/>
                <w:sz w:val="24"/>
                <w:szCs w:val="24"/>
                <w:highlight w:val="none"/>
              </w:rPr>
            </w:pPr>
          </w:p>
        </w:tc>
        <w:tc>
          <w:tcPr>
            <w:tcW w:w="1031" w:type="dxa"/>
            <w:noWrap w:val="0"/>
            <w:vAlign w:val="top"/>
          </w:tcPr>
          <w:p w14:paraId="4710BD3D">
            <w:pPr>
              <w:spacing w:line="440" w:lineRule="exact"/>
              <w:jc w:val="center"/>
              <w:rPr>
                <w:rFonts w:ascii="宋体" w:hAnsi="宋体"/>
                <w:color w:val="auto"/>
                <w:sz w:val="24"/>
                <w:szCs w:val="24"/>
                <w:highlight w:val="none"/>
              </w:rPr>
            </w:pPr>
          </w:p>
        </w:tc>
        <w:tc>
          <w:tcPr>
            <w:tcW w:w="1179" w:type="dxa"/>
            <w:noWrap w:val="0"/>
            <w:vAlign w:val="top"/>
          </w:tcPr>
          <w:p w14:paraId="7977DEE9">
            <w:pPr>
              <w:spacing w:line="440" w:lineRule="exact"/>
              <w:jc w:val="center"/>
              <w:rPr>
                <w:rFonts w:ascii="宋体" w:hAnsi="宋体"/>
                <w:color w:val="auto"/>
                <w:sz w:val="24"/>
                <w:szCs w:val="24"/>
                <w:highlight w:val="none"/>
              </w:rPr>
            </w:pPr>
          </w:p>
        </w:tc>
        <w:tc>
          <w:tcPr>
            <w:tcW w:w="712" w:type="dxa"/>
            <w:noWrap w:val="0"/>
            <w:vAlign w:val="top"/>
          </w:tcPr>
          <w:p w14:paraId="30FAF926">
            <w:pPr>
              <w:spacing w:line="440" w:lineRule="exact"/>
              <w:jc w:val="center"/>
              <w:rPr>
                <w:rFonts w:ascii="宋体" w:hAnsi="宋体"/>
                <w:color w:val="auto"/>
                <w:sz w:val="24"/>
                <w:szCs w:val="24"/>
                <w:highlight w:val="none"/>
              </w:rPr>
            </w:pPr>
          </w:p>
        </w:tc>
        <w:tc>
          <w:tcPr>
            <w:tcW w:w="780" w:type="dxa"/>
            <w:noWrap w:val="0"/>
            <w:vAlign w:val="top"/>
          </w:tcPr>
          <w:p w14:paraId="0E088875">
            <w:pPr>
              <w:spacing w:line="440" w:lineRule="exact"/>
              <w:jc w:val="center"/>
              <w:rPr>
                <w:rFonts w:ascii="宋体" w:hAnsi="宋体"/>
                <w:color w:val="auto"/>
                <w:sz w:val="24"/>
                <w:szCs w:val="24"/>
                <w:highlight w:val="none"/>
              </w:rPr>
            </w:pPr>
          </w:p>
        </w:tc>
        <w:tc>
          <w:tcPr>
            <w:tcW w:w="705" w:type="dxa"/>
            <w:noWrap w:val="0"/>
            <w:vAlign w:val="top"/>
          </w:tcPr>
          <w:p w14:paraId="369FFC66">
            <w:pPr>
              <w:spacing w:line="440" w:lineRule="exact"/>
              <w:jc w:val="center"/>
              <w:rPr>
                <w:rFonts w:ascii="宋体" w:hAnsi="宋体"/>
                <w:color w:val="auto"/>
                <w:sz w:val="24"/>
                <w:szCs w:val="24"/>
                <w:highlight w:val="none"/>
              </w:rPr>
            </w:pPr>
          </w:p>
        </w:tc>
        <w:tc>
          <w:tcPr>
            <w:tcW w:w="2003" w:type="dxa"/>
            <w:noWrap w:val="0"/>
            <w:vAlign w:val="top"/>
          </w:tcPr>
          <w:p w14:paraId="4F4752EC">
            <w:pPr>
              <w:spacing w:line="440" w:lineRule="exact"/>
              <w:jc w:val="center"/>
              <w:rPr>
                <w:rFonts w:ascii="宋体" w:hAnsi="宋体"/>
                <w:color w:val="auto"/>
                <w:sz w:val="24"/>
                <w:szCs w:val="24"/>
                <w:highlight w:val="none"/>
              </w:rPr>
            </w:pPr>
          </w:p>
        </w:tc>
        <w:tc>
          <w:tcPr>
            <w:tcW w:w="764" w:type="dxa"/>
            <w:noWrap w:val="0"/>
            <w:vAlign w:val="top"/>
          </w:tcPr>
          <w:p w14:paraId="657C3717">
            <w:pPr>
              <w:spacing w:line="440" w:lineRule="exact"/>
              <w:jc w:val="center"/>
              <w:rPr>
                <w:rFonts w:ascii="宋体" w:hAnsi="宋体"/>
                <w:color w:val="auto"/>
                <w:sz w:val="24"/>
                <w:szCs w:val="24"/>
                <w:highlight w:val="none"/>
              </w:rPr>
            </w:pPr>
          </w:p>
        </w:tc>
      </w:tr>
      <w:tr w14:paraId="217C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2" w:type="dxa"/>
            <w:noWrap w:val="0"/>
            <w:vAlign w:val="top"/>
          </w:tcPr>
          <w:p w14:paraId="4F3696C9">
            <w:pPr>
              <w:spacing w:line="440" w:lineRule="exact"/>
              <w:jc w:val="center"/>
              <w:rPr>
                <w:rFonts w:ascii="宋体" w:hAnsi="宋体"/>
                <w:color w:val="auto"/>
                <w:sz w:val="24"/>
                <w:szCs w:val="24"/>
                <w:highlight w:val="none"/>
              </w:rPr>
            </w:pPr>
          </w:p>
        </w:tc>
        <w:tc>
          <w:tcPr>
            <w:tcW w:w="1031" w:type="dxa"/>
            <w:noWrap w:val="0"/>
            <w:vAlign w:val="top"/>
          </w:tcPr>
          <w:p w14:paraId="5C78A3CB">
            <w:pPr>
              <w:spacing w:line="440" w:lineRule="exact"/>
              <w:jc w:val="center"/>
              <w:rPr>
                <w:rFonts w:ascii="宋体" w:hAnsi="宋体"/>
                <w:color w:val="auto"/>
                <w:sz w:val="24"/>
                <w:szCs w:val="24"/>
                <w:highlight w:val="none"/>
              </w:rPr>
            </w:pPr>
          </w:p>
        </w:tc>
        <w:tc>
          <w:tcPr>
            <w:tcW w:w="1031" w:type="dxa"/>
            <w:noWrap w:val="0"/>
            <w:vAlign w:val="top"/>
          </w:tcPr>
          <w:p w14:paraId="3A664335">
            <w:pPr>
              <w:spacing w:line="440" w:lineRule="exact"/>
              <w:jc w:val="center"/>
              <w:rPr>
                <w:rFonts w:ascii="宋体" w:hAnsi="宋体"/>
                <w:color w:val="auto"/>
                <w:sz w:val="24"/>
                <w:szCs w:val="24"/>
                <w:highlight w:val="none"/>
              </w:rPr>
            </w:pPr>
          </w:p>
        </w:tc>
        <w:tc>
          <w:tcPr>
            <w:tcW w:w="1179" w:type="dxa"/>
            <w:noWrap w:val="0"/>
            <w:vAlign w:val="top"/>
          </w:tcPr>
          <w:p w14:paraId="23254D8D">
            <w:pPr>
              <w:spacing w:line="440" w:lineRule="exact"/>
              <w:jc w:val="center"/>
              <w:rPr>
                <w:rFonts w:ascii="宋体" w:hAnsi="宋体"/>
                <w:color w:val="auto"/>
                <w:sz w:val="24"/>
                <w:szCs w:val="24"/>
                <w:highlight w:val="none"/>
              </w:rPr>
            </w:pPr>
          </w:p>
        </w:tc>
        <w:tc>
          <w:tcPr>
            <w:tcW w:w="712" w:type="dxa"/>
            <w:noWrap w:val="0"/>
            <w:vAlign w:val="top"/>
          </w:tcPr>
          <w:p w14:paraId="6E56998A">
            <w:pPr>
              <w:spacing w:line="440" w:lineRule="exact"/>
              <w:jc w:val="center"/>
              <w:rPr>
                <w:rFonts w:ascii="宋体" w:hAnsi="宋体"/>
                <w:color w:val="auto"/>
                <w:sz w:val="24"/>
                <w:szCs w:val="24"/>
                <w:highlight w:val="none"/>
              </w:rPr>
            </w:pPr>
          </w:p>
        </w:tc>
        <w:tc>
          <w:tcPr>
            <w:tcW w:w="780" w:type="dxa"/>
            <w:noWrap w:val="0"/>
            <w:vAlign w:val="top"/>
          </w:tcPr>
          <w:p w14:paraId="6CC6C446">
            <w:pPr>
              <w:spacing w:line="440" w:lineRule="exact"/>
              <w:jc w:val="center"/>
              <w:rPr>
                <w:rFonts w:ascii="宋体" w:hAnsi="宋体"/>
                <w:color w:val="auto"/>
                <w:sz w:val="24"/>
                <w:szCs w:val="24"/>
                <w:highlight w:val="none"/>
              </w:rPr>
            </w:pPr>
          </w:p>
        </w:tc>
        <w:tc>
          <w:tcPr>
            <w:tcW w:w="705" w:type="dxa"/>
            <w:noWrap w:val="0"/>
            <w:vAlign w:val="top"/>
          </w:tcPr>
          <w:p w14:paraId="15380933">
            <w:pPr>
              <w:spacing w:line="440" w:lineRule="exact"/>
              <w:jc w:val="center"/>
              <w:rPr>
                <w:rFonts w:ascii="宋体" w:hAnsi="宋体"/>
                <w:color w:val="auto"/>
                <w:sz w:val="24"/>
                <w:szCs w:val="24"/>
                <w:highlight w:val="none"/>
              </w:rPr>
            </w:pPr>
          </w:p>
        </w:tc>
        <w:tc>
          <w:tcPr>
            <w:tcW w:w="2003" w:type="dxa"/>
            <w:noWrap w:val="0"/>
            <w:vAlign w:val="top"/>
          </w:tcPr>
          <w:p w14:paraId="120A9AD1">
            <w:pPr>
              <w:spacing w:line="440" w:lineRule="exact"/>
              <w:jc w:val="center"/>
              <w:rPr>
                <w:rFonts w:ascii="宋体" w:hAnsi="宋体"/>
                <w:color w:val="auto"/>
                <w:sz w:val="24"/>
                <w:szCs w:val="24"/>
                <w:highlight w:val="none"/>
              </w:rPr>
            </w:pPr>
          </w:p>
        </w:tc>
        <w:tc>
          <w:tcPr>
            <w:tcW w:w="764" w:type="dxa"/>
            <w:noWrap w:val="0"/>
            <w:vAlign w:val="top"/>
          </w:tcPr>
          <w:p w14:paraId="072B4E65">
            <w:pPr>
              <w:spacing w:line="440" w:lineRule="exact"/>
              <w:jc w:val="center"/>
              <w:rPr>
                <w:rFonts w:ascii="宋体" w:hAnsi="宋体"/>
                <w:color w:val="auto"/>
                <w:sz w:val="24"/>
                <w:szCs w:val="24"/>
                <w:highlight w:val="none"/>
              </w:rPr>
            </w:pPr>
          </w:p>
        </w:tc>
      </w:tr>
      <w:tr w14:paraId="1CBA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62" w:type="dxa"/>
            <w:noWrap w:val="0"/>
            <w:vAlign w:val="top"/>
          </w:tcPr>
          <w:p w14:paraId="302A6F55">
            <w:pPr>
              <w:spacing w:line="440" w:lineRule="exact"/>
              <w:jc w:val="center"/>
              <w:rPr>
                <w:rFonts w:ascii="宋体" w:hAnsi="宋体"/>
                <w:color w:val="auto"/>
                <w:sz w:val="24"/>
                <w:szCs w:val="24"/>
                <w:highlight w:val="none"/>
              </w:rPr>
            </w:pPr>
          </w:p>
        </w:tc>
        <w:tc>
          <w:tcPr>
            <w:tcW w:w="1031" w:type="dxa"/>
            <w:noWrap w:val="0"/>
            <w:vAlign w:val="top"/>
          </w:tcPr>
          <w:p w14:paraId="148F7EA8">
            <w:pPr>
              <w:spacing w:line="440" w:lineRule="exact"/>
              <w:jc w:val="center"/>
              <w:rPr>
                <w:rFonts w:ascii="宋体" w:hAnsi="宋体"/>
                <w:color w:val="auto"/>
                <w:sz w:val="24"/>
                <w:szCs w:val="24"/>
                <w:highlight w:val="none"/>
              </w:rPr>
            </w:pPr>
          </w:p>
        </w:tc>
        <w:tc>
          <w:tcPr>
            <w:tcW w:w="1031" w:type="dxa"/>
            <w:noWrap w:val="0"/>
            <w:vAlign w:val="top"/>
          </w:tcPr>
          <w:p w14:paraId="4D6C636E">
            <w:pPr>
              <w:spacing w:line="440" w:lineRule="exact"/>
              <w:jc w:val="center"/>
              <w:rPr>
                <w:rFonts w:ascii="宋体" w:hAnsi="宋体"/>
                <w:color w:val="auto"/>
                <w:sz w:val="24"/>
                <w:szCs w:val="24"/>
                <w:highlight w:val="none"/>
              </w:rPr>
            </w:pPr>
          </w:p>
        </w:tc>
        <w:tc>
          <w:tcPr>
            <w:tcW w:w="1179" w:type="dxa"/>
            <w:noWrap w:val="0"/>
            <w:vAlign w:val="top"/>
          </w:tcPr>
          <w:p w14:paraId="70D97703">
            <w:pPr>
              <w:spacing w:line="440" w:lineRule="exact"/>
              <w:jc w:val="center"/>
              <w:rPr>
                <w:rFonts w:ascii="宋体" w:hAnsi="宋体"/>
                <w:color w:val="auto"/>
                <w:sz w:val="24"/>
                <w:szCs w:val="24"/>
                <w:highlight w:val="none"/>
              </w:rPr>
            </w:pPr>
          </w:p>
        </w:tc>
        <w:tc>
          <w:tcPr>
            <w:tcW w:w="712" w:type="dxa"/>
            <w:noWrap w:val="0"/>
            <w:vAlign w:val="top"/>
          </w:tcPr>
          <w:p w14:paraId="5A2CD90C">
            <w:pPr>
              <w:spacing w:line="440" w:lineRule="exact"/>
              <w:jc w:val="center"/>
              <w:rPr>
                <w:rFonts w:ascii="宋体" w:hAnsi="宋体"/>
                <w:color w:val="auto"/>
                <w:sz w:val="24"/>
                <w:szCs w:val="24"/>
                <w:highlight w:val="none"/>
              </w:rPr>
            </w:pPr>
          </w:p>
        </w:tc>
        <w:tc>
          <w:tcPr>
            <w:tcW w:w="780" w:type="dxa"/>
            <w:noWrap w:val="0"/>
            <w:vAlign w:val="top"/>
          </w:tcPr>
          <w:p w14:paraId="1FA81B10">
            <w:pPr>
              <w:spacing w:line="440" w:lineRule="exact"/>
              <w:jc w:val="center"/>
              <w:rPr>
                <w:rFonts w:ascii="宋体" w:hAnsi="宋体"/>
                <w:color w:val="auto"/>
                <w:sz w:val="24"/>
                <w:szCs w:val="24"/>
                <w:highlight w:val="none"/>
              </w:rPr>
            </w:pPr>
          </w:p>
        </w:tc>
        <w:tc>
          <w:tcPr>
            <w:tcW w:w="705" w:type="dxa"/>
            <w:noWrap w:val="0"/>
            <w:vAlign w:val="top"/>
          </w:tcPr>
          <w:p w14:paraId="6B6D6463">
            <w:pPr>
              <w:spacing w:line="440" w:lineRule="exact"/>
              <w:jc w:val="center"/>
              <w:rPr>
                <w:rFonts w:ascii="宋体" w:hAnsi="宋体"/>
                <w:color w:val="auto"/>
                <w:sz w:val="24"/>
                <w:szCs w:val="24"/>
                <w:highlight w:val="none"/>
              </w:rPr>
            </w:pPr>
          </w:p>
        </w:tc>
        <w:tc>
          <w:tcPr>
            <w:tcW w:w="2003" w:type="dxa"/>
            <w:noWrap w:val="0"/>
            <w:vAlign w:val="top"/>
          </w:tcPr>
          <w:p w14:paraId="50553790">
            <w:pPr>
              <w:spacing w:line="440" w:lineRule="exact"/>
              <w:jc w:val="center"/>
              <w:rPr>
                <w:rFonts w:ascii="宋体" w:hAnsi="宋体"/>
                <w:color w:val="auto"/>
                <w:sz w:val="24"/>
                <w:szCs w:val="24"/>
                <w:highlight w:val="none"/>
              </w:rPr>
            </w:pPr>
          </w:p>
        </w:tc>
        <w:tc>
          <w:tcPr>
            <w:tcW w:w="764" w:type="dxa"/>
            <w:noWrap w:val="0"/>
            <w:vAlign w:val="top"/>
          </w:tcPr>
          <w:p w14:paraId="10C0B680">
            <w:pPr>
              <w:spacing w:line="440" w:lineRule="exact"/>
              <w:jc w:val="center"/>
              <w:rPr>
                <w:rFonts w:ascii="宋体" w:hAnsi="宋体"/>
                <w:color w:val="auto"/>
                <w:sz w:val="24"/>
                <w:szCs w:val="24"/>
                <w:highlight w:val="none"/>
              </w:rPr>
            </w:pPr>
          </w:p>
        </w:tc>
      </w:tr>
    </w:tbl>
    <w:p w14:paraId="362C49F5">
      <w:pPr>
        <w:spacing w:line="320" w:lineRule="exact"/>
        <w:rPr>
          <w:rFonts w:hint="eastAsia" w:ascii="宋体" w:hAnsi="宋体"/>
          <w:color w:val="auto"/>
          <w:sz w:val="18"/>
          <w:szCs w:val="21"/>
          <w:highlight w:val="none"/>
        </w:rPr>
      </w:pPr>
    </w:p>
    <w:p w14:paraId="3C2C53C4">
      <w:pPr>
        <w:spacing w:line="3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注：</w:t>
      </w:r>
    </w:p>
    <w:p w14:paraId="44F06A0A">
      <w:pPr>
        <w:spacing w:line="3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1.具体材料要求见评标定标办法，并加盖投标人公章。</w:t>
      </w:r>
    </w:p>
    <w:p w14:paraId="7AC76908">
      <w:pPr>
        <w:spacing w:line="3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2.提供的扫描件资料必须清晰、明辨，否则投标人须自行承担后果。</w:t>
      </w:r>
    </w:p>
    <w:p w14:paraId="22FD18F9">
      <w:pPr>
        <w:spacing w:line="320" w:lineRule="exact"/>
        <w:ind w:firstLine="420" w:firstLineChars="200"/>
        <w:rPr>
          <w:rFonts w:ascii="Times New Roman" w:hAnsi="Times New Roman"/>
          <w:color w:val="auto"/>
          <w:szCs w:val="24"/>
          <w:highlight w:val="none"/>
        </w:rPr>
      </w:pPr>
      <w:r>
        <w:rPr>
          <w:rFonts w:hint="eastAsia" w:ascii="宋体" w:hAnsi="宋体"/>
          <w:color w:val="auto"/>
          <w:szCs w:val="21"/>
          <w:highlight w:val="none"/>
        </w:rPr>
        <w:t>3.投标人在本表之外的地方重复上传本表要求的材料，与本表处上传的材料不一致的，以本表处上传的材料为准。</w:t>
      </w:r>
    </w:p>
    <w:p w14:paraId="14D88118">
      <w:pPr>
        <w:keepNext w:val="0"/>
        <w:keepLines w:val="0"/>
        <w:numPr>
          <w:ilvl w:val="0"/>
          <w:numId w:val="0"/>
        </w:numPr>
        <w:spacing w:line="320" w:lineRule="exact"/>
        <w:ind w:firstLine="420" w:firstLineChars="200"/>
        <w:jc w:val="center"/>
        <w:outlineLvl w:val="9"/>
        <w:rPr>
          <w:rFonts w:hint="eastAsia" w:ascii="黑体" w:hAnsi="黑体" w:eastAsia="黑体" w:cs="黑体"/>
          <w:b w:val="0"/>
          <w:bCs/>
          <w:color w:val="auto"/>
          <w:sz w:val="30"/>
          <w:szCs w:val="30"/>
          <w:highlight w:val="none"/>
        </w:rPr>
      </w:pPr>
      <w:r>
        <w:rPr>
          <w:rFonts w:hint="eastAsia" w:ascii="Times New Roman" w:hAnsi="Times New Roman"/>
          <w:b/>
          <w:bCs/>
          <w:color w:val="auto"/>
          <w:szCs w:val="32"/>
          <w:highlight w:val="none"/>
        </w:rPr>
        <w:br w:type="page"/>
      </w:r>
      <w:r>
        <w:rPr>
          <w:rFonts w:hint="eastAsia" w:ascii="黑体" w:hAnsi="黑体" w:eastAsia="黑体" w:cs="黑体"/>
          <w:b w:val="0"/>
          <w:bCs/>
          <w:color w:val="auto"/>
          <w:sz w:val="30"/>
          <w:szCs w:val="30"/>
          <w:highlight w:val="none"/>
        </w:rPr>
        <w:t>附表三  拟派驻本招标项目的项目负责人简历</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079"/>
        <w:gridCol w:w="927"/>
        <w:gridCol w:w="1065"/>
        <w:gridCol w:w="708"/>
        <w:gridCol w:w="1718"/>
        <w:gridCol w:w="1839"/>
      </w:tblGrid>
      <w:tr w14:paraId="7898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0DBD4C6D">
            <w:pPr>
              <w:spacing w:line="440" w:lineRule="exact"/>
              <w:jc w:val="center"/>
              <w:rPr>
                <w:rFonts w:ascii="宋体" w:hAnsi="宋体"/>
                <w:color w:val="auto"/>
                <w:sz w:val="24"/>
                <w:highlight w:val="none"/>
              </w:rPr>
            </w:pPr>
            <w:r>
              <w:rPr>
                <w:rFonts w:ascii="宋体" w:hAnsi="宋体"/>
                <w:color w:val="auto"/>
                <w:sz w:val="24"/>
                <w:highlight w:val="none"/>
              </w:rPr>
              <w:t>姓  名</w:t>
            </w:r>
          </w:p>
        </w:tc>
        <w:tc>
          <w:tcPr>
            <w:tcW w:w="1079" w:type="dxa"/>
            <w:noWrap w:val="0"/>
            <w:vAlign w:val="center"/>
          </w:tcPr>
          <w:p w14:paraId="5B0C2172">
            <w:pPr>
              <w:spacing w:line="440" w:lineRule="exact"/>
              <w:jc w:val="center"/>
              <w:rPr>
                <w:rFonts w:ascii="宋体" w:hAnsi="宋体"/>
                <w:color w:val="auto"/>
                <w:sz w:val="24"/>
                <w:highlight w:val="none"/>
              </w:rPr>
            </w:pPr>
          </w:p>
        </w:tc>
        <w:tc>
          <w:tcPr>
            <w:tcW w:w="927" w:type="dxa"/>
            <w:noWrap w:val="0"/>
            <w:vAlign w:val="center"/>
          </w:tcPr>
          <w:p w14:paraId="461433D2">
            <w:pPr>
              <w:spacing w:line="440" w:lineRule="exact"/>
              <w:jc w:val="center"/>
              <w:rPr>
                <w:rFonts w:ascii="宋体" w:hAnsi="宋体"/>
                <w:color w:val="auto"/>
                <w:sz w:val="24"/>
                <w:highlight w:val="none"/>
              </w:rPr>
            </w:pPr>
            <w:r>
              <w:rPr>
                <w:rFonts w:ascii="宋体" w:hAnsi="宋体"/>
                <w:color w:val="auto"/>
                <w:sz w:val="24"/>
                <w:highlight w:val="none"/>
              </w:rPr>
              <w:t>年 龄</w:t>
            </w:r>
          </w:p>
        </w:tc>
        <w:tc>
          <w:tcPr>
            <w:tcW w:w="1065" w:type="dxa"/>
            <w:noWrap w:val="0"/>
            <w:vAlign w:val="center"/>
          </w:tcPr>
          <w:p w14:paraId="203999CE">
            <w:pPr>
              <w:spacing w:line="440" w:lineRule="exact"/>
              <w:jc w:val="center"/>
              <w:rPr>
                <w:rFonts w:ascii="宋体" w:hAnsi="宋体"/>
                <w:color w:val="auto"/>
                <w:sz w:val="24"/>
                <w:highlight w:val="none"/>
              </w:rPr>
            </w:pPr>
          </w:p>
        </w:tc>
        <w:tc>
          <w:tcPr>
            <w:tcW w:w="2426" w:type="dxa"/>
            <w:gridSpan w:val="2"/>
            <w:noWrap w:val="0"/>
            <w:vAlign w:val="center"/>
          </w:tcPr>
          <w:p w14:paraId="514FB6DE">
            <w:pPr>
              <w:spacing w:line="440" w:lineRule="exact"/>
              <w:jc w:val="center"/>
              <w:rPr>
                <w:rFonts w:ascii="宋体" w:hAnsi="宋体"/>
                <w:color w:val="auto"/>
                <w:sz w:val="24"/>
                <w:highlight w:val="none"/>
              </w:rPr>
            </w:pPr>
            <w:r>
              <w:rPr>
                <w:rFonts w:ascii="宋体" w:hAnsi="宋体"/>
                <w:color w:val="auto"/>
                <w:sz w:val="24"/>
                <w:highlight w:val="none"/>
              </w:rPr>
              <w:t>学历</w:t>
            </w:r>
          </w:p>
        </w:tc>
        <w:tc>
          <w:tcPr>
            <w:tcW w:w="1839" w:type="dxa"/>
            <w:noWrap w:val="0"/>
            <w:vAlign w:val="center"/>
          </w:tcPr>
          <w:p w14:paraId="63F29B1B">
            <w:pPr>
              <w:spacing w:line="440" w:lineRule="exact"/>
              <w:jc w:val="center"/>
              <w:rPr>
                <w:rFonts w:ascii="宋体" w:hAnsi="宋体"/>
                <w:color w:val="auto"/>
                <w:sz w:val="24"/>
                <w:highlight w:val="none"/>
              </w:rPr>
            </w:pPr>
          </w:p>
        </w:tc>
      </w:tr>
      <w:tr w14:paraId="6B01C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5591B64C">
            <w:pPr>
              <w:spacing w:line="440" w:lineRule="exact"/>
              <w:jc w:val="center"/>
              <w:rPr>
                <w:rFonts w:ascii="宋体" w:hAnsi="宋体"/>
                <w:color w:val="auto"/>
                <w:sz w:val="24"/>
                <w:highlight w:val="none"/>
              </w:rPr>
            </w:pPr>
            <w:r>
              <w:rPr>
                <w:rFonts w:ascii="宋体" w:hAnsi="宋体"/>
                <w:color w:val="auto"/>
                <w:sz w:val="24"/>
                <w:highlight w:val="none"/>
              </w:rPr>
              <w:t>职  称</w:t>
            </w:r>
          </w:p>
        </w:tc>
        <w:tc>
          <w:tcPr>
            <w:tcW w:w="1079" w:type="dxa"/>
            <w:noWrap w:val="0"/>
            <w:vAlign w:val="center"/>
          </w:tcPr>
          <w:p w14:paraId="2A217265">
            <w:pPr>
              <w:spacing w:line="440" w:lineRule="exact"/>
              <w:jc w:val="center"/>
              <w:rPr>
                <w:rFonts w:ascii="宋体" w:hAnsi="宋体"/>
                <w:color w:val="auto"/>
                <w:sz w:val="24"/>
                <w:highlight w:val="none"/>
              </w:rPr>
            </w:pPr>
          </w:p>
        </w:tc>
        <w:tc>
          <w:tcPr>
            <w:tcW w:w="927" w:type="dxa"/>
            <w:noWrap w:val="0"/>
            <w:vAlign w:val="center"/>
          </w:tcPr>
          <w:p w14:paraId="546F5EC9">
            <w:pPr>
              <w:spacing w:line="440" w:lineRule="exact"/>
              <w:jc w:val="center"/>
              <w:rPr>
                <w:rFonts w:ascii="宋体" w:hAnsi="宋体"/>
                <w:color w:val="auto"/>
                <w:sz w:val="24"/>
                <w:highlight w:val="none"/>
              </w:rPr>
            </w:pPr>
            <w:r>
              <w:rPr>
                <w:rFonts w:ascii="宋体" w:hAnsi="宋体"/>
                <w:color w:val="auto"/>
                <w:sz w:val="24"/>
                <w:highlight w:val="none"/>
              </w:rPr>
              <w:t>职 务</w:t>
            </w:r>
          </w:p>
        </w:tc>
        <w:tc>
          <w:tcPr>
            <w:tcW w:w="1065" w:type="dxa"/>
            <w:noWrap w:val="0"/>
            <w:vAlign w:val="center"/>
          </w:tcPr>
          <w:p w14:paraId="595B0F14">
            <w:pPr>
              <w:spacing w:line="440" w:lineRule="exact"/>
              <w:jc w:val="center"/>
              <w:rPr>
                <w:rFonts w:ascii="宋体" w:hAnsi="宋体"/>
                <w:color w:val="auto"/>
                <w:sz w:val="24"/>
                <w:highlight w:val="none"/>
              </w:rPr>
            </w:pPr>
          </w:p>
        </w:tc>
        <w:tc>
          <w:tcPr>
            <w:tcW w:w="2426" w:type="dxa"/>
            <w:gridSpan w:val="2"/>
            <w:noWrap w:val="0"/>
            <w:vAlign w:val="center"/>
          </w:tcPr>
          <w:p w14:paraId="1FC48C8D">
            <w:pPr>
              <w:spacing w:line="440" w:lineRule="exact"/>
              <w:jc w:val="center"/>
              <w:rPr>
                <w:rFonts w:ascii="宋体" w:hAnsi="宋体"/>
                <w:color w:val="auto"/>
                <w:sz w:val="24"/>
                <w:highlight w:val="none"/>
              </w:rPr>
            </w:pPr>
            <w:r>
              <w:rPr>
                <w:rFonts w:ascii="宋体" w:hAnsi="宋体"/>
                <w:color w:val="auto"/>
                <w:sz w:val="24"/>
                <w:highlight w:val="none"/>
              </w:rPr>
              <w:t>拟在本合同任职</w:t>
            </w:r>
          </w:p>
        </w:tc>
        <w:tc>
          <w:tcPr>
            <w:tcW w:w="1839" w:type="dxa"/>
            <w:noWrap w:val="0"/>
            <w:vAlign w:val="center"/>
          </w:tcPr>
          <w:p w14:paraId="3EF72D97">
            <w:pPr>
              <w:spacing w:line="440" w:lineRule="exact"/>
              <w:jc w:val="center"/>
              <w:rPr>
                <w:rFonts w:ascii="宋体" w:hAnsi="宋体"/>
                <w:color w:val="auto"/>
                <w:sz w:val="24"/>
                <w:highlight w:val="none"/>
              </w:rPr>
            </w:pPr>
          </w:p>
        </w:tc>
      </w:tr>
      <w:tr w14:paraId="286F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0313839D">
            <w:pPr>
              <w:spacing w:line="440" w:lineRule="exact"/>
              <w:jc w:val="center"/>
              <w:rPr>
                <w:rFonts w:ascii="宋体" w:hAnsi="宋体"/>
                <w:color w:val="auto"/>
                <w:sz w:val="24"/>
                <w:highlight w:val="none"/>
              </w:rPr>
            </w:pPr>
            <w:r>
              <w:rPr>
                <w:rFonts w:hint="eastAsia" w:ascii="宋体" w:hAnsi="宋体"/>
                <w:color w:val="auto"/>
                <w:sz w:val="24"/>
                <w:highlight w:val="none"/>
              </w:rPr>
              <w:t>专  业</w:t>
            </w:r>
          </w:p>
        </w:tc>
        <w:tc>
          <w:tcPr>
            <w:tcW w:w="7336" w:type="dxa"/>
            <w:gridSpan w:val="6"/>
            <w:noWrap w:val="0"/>
            <w:vAlign w:val="top"/>
          </w:tcPr>
          <w:p w14:paraId="1B69C73A">
            <w:pPr>
              <w:spacing w:line="440" w:lineRule="exact"/>
              <w:rPr>
                <w:rFonts w:ascii="宋体" w:hAnsi="宋体"/>
                <w:color w:val="auto"/>
                <w:sz w:val="24"/>
                <w:highlight w:val="none"/>
              </w:rPr>
            </w:pPr>
            <w:r>
              <w:rPr>
                <w:rFonts w:ascii="宋体" w:hAnsi="宋体"/>
                <w:color w:val="auto"/>
                <w:sz w:val="24"/>
                <w:highlight w:val="none"/>
              </w:rPr>
              <w:t xml:space="preserve">     </w:t>
            </w:r>
          </w:p>
        </w:tc>
      </w:tr>
      <w:tr w14:paraId="53DA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7"/>
            <w:noWrap w:val="0"/>
            <w:vAlign w:val="center"/>
          </w:tcPr>
          <w:p w14:paraId="702AA7D7">
            <w:pPr>
              <w:spacing w:line="440" w:lineRule="exact"/>
              <w:rPr>
                <w:rFonts w:ascii="宋体" w:hAnsi="宋体"/>
                <w:color w:val="auto"/>
                <w:sz w:val="24"/>
                <w:highlight w:val="none"/>
              </w:rPr>
            </w:pPr>
            <w:r>
              <w:rPr>
                <w:rFonts w:ascii="宋体" w:hAnsi="宋体"/>
                <w:color w:val="auto"/>
                <w:sz w:val="24"/>
                <w:highlight w:val="none"/>
              </w:rPr>
              <w:t>主要工作经历</w:t>
            </w:r>
            <w:r>
              <w:rPr>
                <w:rFonts w:ascii="宋体" w:hAnsi="宋体"/>
                <w:snapToGrid w:val="0"/>
                <w:color w:val="auto"/>
                <w:kern w:val="0"/>
                <w:sz w:val="24"/>
                <w:highlight w:val="none"/>
              </w:rPr>
              <w:t>（何时在哪些工程项目中任何职务）</w:t>
            </w:r>
          </w:p>
        </w:tc>
      </w:tr>
      <w:tr w14:paraId="4FA8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186" w:type="dxa"/>
            <w:noWrap w:val="0"/>
            <w:vAlign w:val="center"/>
          </w:tcPr>
          <w:p w14:paraId="60042283">
            <w:pPr>
              <w:jc w:val="center"/>
              <w:rPr>
                <w:rFonts w:ascii="宋体" w:hAnsi="宋体"/>
                <w:color w:val="auto"/>
                <w:sz w:val="24"/>
                <w:highlight w:val="none"/>
              </w:rPr>
            </w:pPr>
            <w:r>
              <w:rPr>
                <w:rFonts w:ascii="宋体" w:hAnsi="宋体"/>
                <w:color w:val="auto"/>
                <w:sz w:val="24"/>
                <w:highlight w:val="none"/>
              </w:rPr>
              <w:t>时  间</w:t>
            </w:r>
          </w:p>
        </w:tc>
        <w:tc>
          <w:tcPr>
            <w:tcW w:w="3779" w:type="dxa"/>
            <w:gridSpan w:val="4"/>
            <w:noWrap w:val="0"/>
            <w:vAlign w:val="center"/>
          </w:tcPr>
          <w:p w14:paraId="39FAE021">
            <w:pPr>
              <w:jc w:val="center"/>
              <w:rPr>
                <w:rFonts w:ascii="宋体" w:hAnsi="宋体"/>
                <w:color w:val="auto"/>
                <w:sz w:val="24"/>
                <w:highlight w:val="none"/>
              </w:rPr>
            </w:pPr>
            <w:r>
              <w:rPr>
                <w:rFonts w:ascii="宋体" w:hAnsi="宋体"/>
                <w:color w:val="auto"/>
                <w:sz w:val="24"/>
                <w:highlight w:val="none"/>
              </w:rPr>
              <w:t>参加过的类似项目</w:t>
            </w:r>
          </w:p>
        </w:tc>
        <w:tc>
          <w:tcPr>
            <w:tcW w:w="1718" w:type="dxa"/>
            <w:noWrap w:val="0"/>
            <w:vAlign w:val="center"/>
          </w:tcPr>
          <w:p w14:paraId="5A3BF45D">
            <w:pPr>
              <w:jc w:val="center"/>
              <w:rPr>
                <w:rFonts w:ascii="宋体" w:hAnsi="宋体"/>
                <w:color w:val="auto"/>
                <w:sz w:val="24"/>
                <w:highlight w:val="none"/>
              </w:rPr>
            </w:pPr>
            <w:r>
              <w:rPr>
                <w:rFonts w:ascii="宋体" w:hAnsi="宋体"/>
                <w:color w:val="auto"/>
                <w:sz w:val="24"/>
                <w:highlight w:val="none"/>
              </w:rPr>
              <w:t>担任职务</w:t>
            </w:r>
          </w:p>
        </w:tc>
        <w:tc>
          <w:tcPr>
            <w:tcW w:w="1839" w:type="dxa"/>
            <w:noWrap w:val="0"/>
            <w:vAlign w:val="center"/>
          </w:tcPr>
          <w:p w14:paraId="621DB6FE">
            <w:pPr>
              <w:jc w:val="center"/>
              <w:rPr>
                <w:rFonts w:ascii="宋体" w:hAnsi="宋体"/>
                <w:color w:val="auto"/>
                <w:sz w:val="24"/>
                <w:highlight w:val="none"/>
              </w:rPr>
            </w:pPr>
            <w:r>
              <w:rPr>
                <w:rFonts w:hint="eastAsia" w:ascii="宋体" w:hAnsi="宋体"/>
                <w:color w:val="auto"/>
                <w:sz w:val="24"/>
                <w:highlight w:val="none"/>
              </w:rPr>
              <w:t>备注</w:t>
            </w:r>
          </w:p>
        </w:tc>
      </w:tr>
      <w:tr w14:paraId="7B95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186" w:type="dxa"/>
            <w:noWrap w:val="0"/>
            <w:vAlign w:val="top"/>
          </w:tcPr>
          <w:p w14:paraId="6A22E7BF">
            <w:pPr>
              <w:spacing w:line="400" w:lineRule="exact"/>
              <w:jc w:val="center"/>
              <w:rPr>
                <w:rFonts w:ascii="宋体" w:hAnsi="宋体"/>
                <w:color w:val="auto"/>
                <w:sz w:val="24"/>
                <w:highlight w:val="none"/>
              </w:rPr>
            </w:pPr>
          </w:p>
        </w:tc>
        <w:tc>
          <w:tcPr>
            <w:tcW w:w="3779" w:type="dxa"/>
            <w:gridSpan w:val="4"/>
            <w:noWrap w:val="0"/>
            <w:vAlign w:val="top"/>
          </w:tcPr>
          <w:p w14:paraId="5AB51843">
            <w:pPr>
              <w:spacing w:line="400" w:lineRule="exact"/>
              <w:jc w:val="center"/>
              <w:rPr>
                <w:rFonts w:ascii="宋体" w:hAnsi="宋体"/>
                <w:color w:val="auto"/>
                <w:sz w:val="24"/>
                <w:highlight w:val="none"/>
              </w:rPr>
            </w:pPr>
          </w:p>
        </w:tc>
        <w:tc>
          <w:tcPr>
            <w:tcW w:w="1718" w:type="dxa"/>
            <w:noWrap w:val="0"/>
            <w:vAlign w:val="top"/>
          </w:tcPr>
          <w:p w14:paraId="076877E3">
            <w:pPr>
              <w:spacing w:line="400" w:lineRule="exact"/>
              <w:jc w:val="center"/>
              <w:rPr>
                <w:rFonts w:ascii="宋体" w:hAnsi="宋体"/>
                <w:color w:val="auto"/>
                <w:sz w:val="24"/>
                <w:highlight w:val="none"/>
              </w:rPr>
            </w:pPr>
          </w:p>
        </w:tc>
        <w:tc>
          <w:tcPr>
            <w:tcW w:w="1839" w:type="dxa"/>
            <w:noWrap w:val="0"/>
            <w:vAlign w:val="top"/>
          </w:tcPr>
          <w:p w14:paraId="795C4D5A">
            <w:pPr>
              <w:spacing w:line="400" w:lineRule="exact"/>
              <w:jc w:val="center"/>
              <w:rPr>
                <w:rFonts w:ascii="宋体" w:hAnsi="宋体"/>
                <w:color w:val="auto"/>
                <w:sz w:val="24"/>
                <w:highlight w:val="none"/>
              </w:rPr>
            </w:pPr>
          </w:p>
        </w:tc>
      </w:tr>
      <w:tr w14:paraId="650D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186" w:type="dxa"/>
            <w:noWrap w:val="0"/>
            <w:vAlign w:val="top"/>
          </w:tcPr>
          <w:p w14:paraId="50B8C458">
            <w:pPr>
              <w:spacing w:line="400" w:lineRule="exact"/>
              <w:jc w:val="center"/>
              <w:rPr>
                <w:rFonts w:ascii="宋体" w:hAnsi="宋体"/>
                <w:color w:val="auto"/>
                <w:sz w:val="24"/>
                <w:highlight w:val="none"/>
              </w:rPr>
            </w:pPr>
          </w:p>
        </w:tc>
        <w:tc>
          <w:tcPr>
            <w:tcW w:w="3779" w:type="dxa"/>
            <w:gridSpan w:val="4"/>
            <w:noWrap w:val="0"/>
            <w:vAlign w:val="top"/>
          </w:tcPr>
          <w:p w14:paraId="203FD359">
            <w:pPr>
              <w:spacing w:line="400" w:lineRule="exact"/>
              <w:jc w:val="center"/>
              <w:rPr>
                <w:rFonts w:ascii="宋体" w:hAnsi="宋体"/>
                <w:color w:val="auto"/>
                <w:sz w:val="24"/>
                <w:highlight w:val="none"/>
              </w:rPr>
            </w:pPr>
          </w:p>
        </w:tc>
        <w:tc>
          <w:tcPr>
            <w:tcW w:w="1718" w:type="dxa"/>
            <w:noWrap w:val="0"/>
            <w:vAlign w:val="top"/>
          </w:tcPr>
          <w:p w14:paraId="21A874C9">
            <w:pPr>
              <w:spacing w:line="400" w:lineRule="exact"/>
              <w:jc w:val="center"/>
              <w:rPr>
                <w:rFonts w:ascii="宋体" w:hAnsi="宋体"/>
                <w:color w:val="auto"/>
                <w:sz w:val="24"/>
                <w:highlight w:val="none"/>
              </w:rPr>
            </w:pPr>
          </w:p>
        </w:tc>
        <w:tc>
          <w:tcPr>
            <w:tcW w:w="1839" w:type="dxa"/>
            <w:noWrap w:val="0"/>
            <w:vAlign w:val="top"/>
          </w:tcPr>
          <w:p w14:paraId="44B943F8">
            <w:pPr>
              <w:spacing w:line="400" w:lineRule="exact"/>
              <w:jc w:val="center"/>
              <w:rPr>
                <w:rFonts w:ascii="宋体" w:hAnsi="宋体"/>
                <w:color w:val="auto"/>
                <w:sz w:val="24"/>
                <w:highlight w:val="none"/>
              </w:rPr>
            </w:pPr>
          </w:p>
        </w:tc>
      </w:tr>
      <w:tr w14:paraId="576D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186" w:type="dxa"/>
            <w:noWrap w:val="0"/>
            <w:vAlign w:val="center"/>
          </w:tcPr>
          <w:p w14:paraId="0D969CC4">
            <w:pPr>
              <w:spacing w:line="400" w:lineRule="exact"/>
              <w:jc w:val="center"/>
              <w:rPr>
                <w:rFonts w:ascii="宋体" w:hAnsi="宋体"/>
                <w:color w:val="auto"/>
                <w:sz w:val="24"/>
                <w:highlight w:val="none"/>
              </w:rPr>
            </w:pPr>
          </w:p>
        </w:tc>
        <w:tc>
          <w:tcPr>
            <w:tcW w:w="3779" w:type="dxa"/>
            <w:gridSpan w:val="4"/>
            <w:noWrap w:val="0"/>
            <w:vAlign w:val="center"/>
          </w:tcPr>
          <w:p w14:paraId="36C221A1">
            <w:pPr>
              <w:spacing w:line="400" w:lineRule="exact"/>
              <w:jc w:val="center"/>
              <w:rPr>
                <w:rFonts w:ascii="宋体" w:hAnsi="宋体"/>
                <w:color w:val="auto"/>
                <w:sz w:val="24"/>
                <w:highlight w:val="none"/>
              </w:rPr>
            </w:pPr>
          </w:p>
        </w:tc>
        <w:tc>
          <w:tcPr>
            <w:tcW w:w="1718" w:type="dxa"/>
            <w:noWrap w:val="0"/>
            <w:vAlign w:val="center"/>
          </w:tcPr>
          <w:p w14:paraId="607E10E3">
            <w:pPr>
              <w:spacing w:line="400" w:lineRule="exact"/>
              <w:jc w:val="center"/>
              <w:rPr>
                <w:rFonts w:ascii="宋体" w:hAnsi="宋体"/>
                <w:color w:val="auto"/>
                <w:sz w:val="24"/>
                <w:highlight w:val="none"/>
              </w:rPr>
            </w:pPr>
          </w:p>
        </w:tc>
        <w:tc>
          <w:tcPr>
            <w:tcW w:w="1839" w:type="dxa"/>
            <w:noWrap w:val="0"/>
            <w:vAlign w:val="center"/>
          </w:tcPr>
          <w:p w14:paraId="06A659B8">
            <w:pPr>
              <w:spacing w:line="400" w:lineRule="exact"/>
              <w:jc w:val="center"/>
              <w:rPr>
                <w:rFonts w:ascii="宋体" w:hAnsi="宋体"/>
                <w:color w:val="auto"/>
                <w:sz w:val="24"/>
                <w:highlight w:val="none"/>
              </w:rPr>
            </w:pPr>
          </w:p>
        </w:tc>
      </w:tr>
      <w:tr w14:paraId="33BA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7"/>
            <w:noWrap w:val="0"/>
            <w:vAlign w:val="center"/>
          </w:tcPr>
          <w:p w14:paraId="13EDFD94">
            <w:pPr>
              <w:spacing w:line="440" w:lineRule="exact"/>
              <w:rPr>
                <w:rFonts w:ascii="宋体" w:hAnsi="宋体"/>
                <w:color w:val="auto"/>
                <w:sz w:val="24"/>
                <w:highlight w:val="none"/>
              </w:rPr>
            </w:pPr>
            <w:r>
              <w:rPr>
                <w:rFonts w:hint="eastAsia" w:ascii="宋体" w:hAnsi="宋体"/>
                <w:color w:val="auto"/>
                <w:sz w:val="24"/>
                <w:highlight w:val="none"/>
              </w:rPr>
              <w:t>备注</w:t>
            </w:r>
            <w:r>
              <w:rPr>
                <w:rFonts w:ascii="宋体" w:hAnsi="宋体"/>
                <w:snapToGrid w:val="0"/>
                <w:color w:val="auto"/>
                <w:kern w:val="0"/>
                <w:sz w:val="24"/>
                <w:highlight w:val="none"/>
              </w:rPr>
              <w:t>（有何其他特殊才能，受过哪些奖励等）</w:t>
            </w:r>
          </w:p>
        </w:tc>
      </w:tr>
      <w:tr w14:paraId="1CE0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186" w:type="dxa"/>
            <w:noWrap w:val="0"/>
            <w:vAlign w:val="center"/>
          </w:tcPr>
          <w:p w14:paraId="046E8B09">
            <w:pPr>
              <w:spacing w:line="440" w:lineRule="exact"/>
              <w:rPr>
                <w:rFonts w:ascii="宋体" w:hAnsi="宋体"/>
                <w:color w:val="auto"/>
                <w:sz w:val="24"/>
                <w:highlight w:val="none"/>
              </w:rPr>
            </w:pPr>
          </w:p>
        </w:tc>
        <w:tc>
          <w:tcPr>
            <w:tcW w:w="3779" w:type="dxa"/>
            <w:gridSpan w:val="4"/>
            <w:noWrap w:val="0"/>
            <w:vAlign w:val="center"/>
          </w:tcPr>
          <w:p w14:paraId="58EAFD31">
            <w:pPr>
              <w:spacing w:line="440" w:lineRule="exact"/>
              <w:rPr>
                <w:rFonts w:ascii="宋体" w:hAnsi="宋体"/>
                <w:color w:val="auto"/>
                <w:sz w:val="24"/>
                <w:highlight w:val="none"/>
              </w:rPr>
            </w:pPr>
          </w:p>
        </w:tc>
        <w:tc>
          <w:tcPr>
            <w:tcW w:w="1718" w:type="dxa"/>
            <w:noWrap w:val="0"/>
            <w:vAlign w:val="center"/>
          </w:tcPr>
          <w:p w14:paraId="13005666">
            <w:pPr>
              <w:spacing w:line="440" w:lineRule="exact"/>
              <w:rPr>
                <w:rFonts w:ascii="宋体" w:hAnsi="宋体"/>
                <w:color w:val="auto"/>
                <w:sz w:val="24"/>
                <w:highlight w:val="none"/>
              </w:rPr>
            </w:pPr>
          </w:p>
        </w:tc>
        <w:tc>
          <w:tcPr>
            <w:tcW w:w="1839" w:type="dxa"/>
            <w:noWrap w:val="0"/>
            <w:vAlign w:val="center"/>
          </w:tcPr>
          <w:p w14:paraId="14A69C9C">
            <w:pPr>
              <w:spacing w:line="440" w:lineRule="exact"/>
              <w:rPr>
                <w:rFonts w:ascii="宋体" w:hAnsi="宋体"/>
                <w:color w:val="auto"/>
                <w:sz w:val="24"/>
                <w:highlight w:val="none"/>
              </w:rPr>
            </w:pPr>
          </w:p>
        </w:tc>
      </w:tr>
    </w:tbl>
    <w:p w14:paraId="04B6C8A6">
      <w:pPr>
        <w:spacing w:line="560" w:lineRule="exact"/>
        <w:ind w:firstLine="420"/>
        <w:jc w:val="left"/>
        <w:rPr>
          <w:rFonts w:ascii="宋体" w:hAnsi="宋体"/>
          <w:color w:val="auto"/>
          <w:sz w:val="24"/>
          <w:szCs w:val="24"/>
          <w:highlight w:val="none"/>
        </w:rPr>
      </w:pPr>
    </w:p>
    <w:p w14:paraId="3E476D49">
      <w:pPr>
        <w:spacing w:line="560" w:lineRule="exact"/>
        <w:ind w:firstLine="420"/>
        <w:jc w:val="left"/>
        <w:rPr>
          <w:rFonts w:ascii="宋体" w:hAnsi="宋体"/>
          <w:color w:val="auto"/>
          <w:sz w:val="24"/>
          <w:szCs w:val="24"/>
          <w:highlight w:val="none"/>
        </w:rPr>
      </w:pPr>
      <w:r>
        <w:rPr>
          <w:rFonts w:hint="eastAsia" w:ascii="宋体" w:hAnsi="宋体"/>
          <w:color w:val="auto"/>
          <w:sz w:val="24"/>
          <w:szCs w:val="24"/>
          <w:highlight w:val="none"/>
        </w:rPr>
        <w:t xml:space="preserve">项目负责人：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 xml:space="preserve">  （签字）</w:t>
      </w:r>
    </w:p>
    <w:p w14:paraId="078B9614">
      <w:pPr>
        <w:spacing w:line="560" w:lineRule="exact"/>
        <w:ind w:firstLine="420"/>
        <w:jc w:val="left"/>
        <w:rPr>
          <w:rFonts w:ascii="宋体" w:hAnsi="宋体"/>
          <w:color w:val="auto"/>
          <w:sz w:val="24"/>
          <w:szCs w:val="24"/>
          <w:highlight w:val="none"/>
        </w:rPr>
      </w:pPr>
    </w:p>
    <w:p w14:paraId="3B176081">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注：</w:t>
      </w:r>
    </w:p>
    <w:p w14:paraId="3ED952F7">
      <w:pPr>
        <w:spacing w:line="310" w:lineRule="exact"/>
        <w:ind w:firstLine="420" w:firstLineChars="200"/>
        <w:rPr>
          <w:rFonts w:ascii="宋体" w:hAnsi="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rPr>
        <w:t>.按招标文件要求进行签字：如要签字的，项目负责人未按要求签字的，将被认为资格审查不合格。</w:t>
      </w:r>
    </w:p>
    <w:p w14:paraId="25AF89B5">
      <w:pPr>
        <w:tabs>
          <w:tab w:val="left" w:pos="720"/>
        </w:tabs>
        <w:spacing w:line="310" w:lineRule="exact"/>
        <w:ind w:firstLine="420" w:firstLineChars="200"/>
        <w:rPr>
          <w:rFonts w:ascii="宋体" w:hAnsi="宋体" w:cs="宋体"/>
          <w:color w:val="auto"/>
          <w:kern w:val="0"/>
          <w:szCs w:val="21"/>
          <w:highlight w:val="none"/>
        </w:rPr>
      </w:pPr>
      <w:r>
        <w:rPr>
          <w:rFonts w:hint="eastAsia" w:ascii="宋体" w:hAnsi="宋体" w:eastAsia="宋体" w:cs="宋体"/>
          <w:color w:val="auto"/>
          <w:kern w:val="0"/>
          <w:szCs w:val="21"/>
          <w:highlight w:val="none"/>
          <w:lang w:val="en-US" w:eastAsia="zh-CN"/>
        </w:rPr>
        <w:t>2</w:t>
      </w:r>
      <w:r>
        <w:rPr>
          <w:rFonts w:hint="eastAsia" w:ascii="宋体" w:hAnsi="宋体" w:cs="宋体"/>
          <w:color w:val="auto"/>
          <w:kern w:val="0"/>
          <w:szCs w:val="21"/>
          <w:highlight w:val="none"/>
        </w:rPr>
        <w:t>.提供的扫描件资料必须清晰、明辨，否则投标人须自行承担后果。</w:t>
      </w:r>
    </w:p>
    <w:p w14:paraId="1C8799A4">
      <w:pPr>
        <w:spacing w:after="120" w:line="310" w:lineRule="exact"/>
        <w:ind w:firstLine="420" w:firstLineChars="200"/>
        <w:rPr>
          <w:rFonts w:hint="eastAsia" w:ascii="宋体" w:hAnsi="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cs="宋体"/>
          <w:color w:val="auto"/>
          <w:kern w:val="0"/>
          <w:szCs w:val="21"/>
          <w:highlight w:val="none"/>
        </w:rPr>
        <w:t>.</w:t>
      </w:r>
      <w:r>
        <w:rPr>
          <w:rFonts w:hint="eastAsia" w:ascii="宋体" w:hAnsi="宋体"/>
          <w:color w:val="auto"/>
          <w:szCs w:val="21"/>
          <w:highlight w:val="none"/>
        </w:rPr>
        <w:t>投标人在本表之外的地方重复上传本表要求的材料，与本表处上传的材料不一致的，以本表处上传的材料为准</w:t>
      </w:r>
      <w:r>
        <w:rPr>
          <w:rFonts w:hint="eastAsia" w:ascii="宋体" w:hAnsi="宋体" w:cs="宋体"/>
          <w:color w:val="auto"/>
          <w:kern w:val="0"/>
          <w:szCs w:val="21"/>
          <w:highlight w:val="none"/>
        </w:rPr>
        <w:t>。</w:t>
      </w:r>
    </w:p>
    <w:p w14:paraId="1D94F84D">
      <w:pPr>
        <w:keepNext w:val="0"/>
        <w:keepLines w:val="0"/>
        <w:numPr>
          <w:ilvl w:val="-1"/>
          <w:numId w:val="0"/>
        </w:numPr>
        <w:spacing w:before="0" w:after="0" w:line="320" w:lineRule="exact"/>
        <w:ind w:left="0" w:leftChars="0" w:firstLine="420" w:firstLineChars="200"/>
        <w:jc w:val="center"/>
        <w:outlineLvl w:val="9"/>
        <w:rPr>
          <w:rFonts w:hint="eastAsia" w:ascii="Arial" w:hAnsi="Arial" w:eastAsia="黑体"/>
          <w:b/>
          <w:color w:val="auto"/>
          <w:sz w:val="28"/>
          <w:szCs w:val="24"/>
          <w:highlight w:val="none"/>
        </w:rPr>
      </w:pPr>
      <w:r>
        <w:rPr>
          <w:rFonts w:hint="eastAsia" w:ascii="Times New Roman" w:hAnsi="Times New Roman"/>
          <w:b/>
          <w:bCs/>
          <w:color w:val="auto"/>
          <w:szCs w:val="32"/>
          <w:highlight w:val="none"/>
        </w:rPr>
        <w:br w:type="page"/>
      </w:r>
      <w:r>
        <w:rPr>
          <w:rFonts w:hint="eastAsia" w:ascii="黑体" w:hAnsi="黑体" w:eastAsia="黑体" w:cs="黑体"/>
          <w:bCs/>
          <w:color w:val="auto"/>
          <w:sz w:val="30"/>
          <w:szCs w:val="30"/>
          <w:highlight w:val="none"/>
        </w:rPr>
        <w:t>附表</w:t>
      </w:r>
      <w:r>
        <w:rPr>
          <w:rFonts w:hint="eastAsia" w:ascii="黑体" w:hAnsi="黑体" w:eastAsia="黑体" w:cs="黑体"/>
          <w:bCs/>
          <w:color w:val="auto"/>
          <w:sz w:val="30"/>
          <w:szCs w:val="30"/>
          <w:highlight w:val="none"/>
          <w:lang w:val="en-US" w:eastAsia="zh-CN"/>
        </w:rPr>
        <w:t>四</w:t>
      </w:r>
      <w:r>
        <w:rPr>
          <w:rFonts w:hint="eastAsia" w:ascii="黑体" w:hAnsi="黑体" w:eastAsia="黑体" w:cs="黑体"/>
          <w:bCs/>
          <w:color w:val="auto"/>
          <w:sz w:val="30"/>
          <w:szCs w:val="30"/>
          <w:highlight w:val="none"/>
        </w:rPr>
        <w:t xml:space="preserve">  诚信投标承诺书</w:t>
      </w:r>
    </w:p>
    <w:p w14:paraId="3AE6A7DB">
      <w:pPr>
        <w:spacing w:line="540" w:lineRule="exact"/>
        <w:rPr>
          <w:rFonts w:hint="eastAsia" w:ascii="宋体" w:hAnsi="宋体" w:cs="宋体"/>
          <w:color w:val="auto"/>
          <w:kern w:val="0"/>
          <w:szCs w:val="21"/>
          <w:highlight w:val="none"/>
          <w:u w:val="single"/>
        </w:rPr>
      </w:pPr>
    </w:p>
    <w:p w14:paraId="484E9955">
      <w:pPr>
        <w:spacing w:line="400" w:lineRule="exact"/>
        <w:rPr>
          <w:rFonts w:ascii="黑体" w:eastAsia="黑体"/>
          <w:color w:val="auto"/>
          <w:sz w:val="24"/>
          <w:highlight w:val="none"/>
          <w:u w:val="single"/>
        </w:rPr>
      </w:pPr>
      <w:r>
        <w:rPr>
          <w:rFonts w:hint="eastAsia" w:ascii="宋体" w:hAnsi="宋体" w:cs="宋体"/>
          <w:color w:val="auto"/>
          <w:kern w:val="0"/>
          <w:sz w:val="24"/>
          <w:highlight w:val="none"/>
        </w:rPr>
        <w:t>致：</w:t>
      </w:r>
      <w:r>
        <w:rPr>
          <w:rFonts w:hint="eastAsia" w:ascii="宋体" w:hAnsi="宋体" w:cs="宋体"/>
          <w:color w:val="auto"/>
          <w:kern w:val="0"/>
          <w:sz w:val="24"/>
          <w:highlight w:val="none"/>
          <w:u w:val="single"/>
        </w:rPr>
        <w:t xml:space="preserve">        （招标人）     </w:t>
      </w:r>
    </w:p>
    <w:p w14:paraId="5BC9F644">
      <w:pPr>
        <w:widowControl/>
        <w:shd w:val="clear" w:color="auto" w:fill="FFFFFF"/>
        <w:spacing w:line="400" w:lineRule="exact"/>
        <w:ind w:firstLine="420"/>
        <w:rPr>
          <w:rFonts w:cs="宋体"/>
          <w:color w:val="auto"/>
          <w:kern w:val="0"/>
          <w:sz w:val="24"/>
          <w:highlight w:val="none"/>
        </w:rPr>
      </w:pPr>
      <w:r>
        <w:rPr>
          <w:rFonts w:hint="eastAsia" w:ascii="宋体" w:hAnsi="宋体" w:cs="宋体"/>
          <w:color w:val="auto"/>
          <w:kern w:val="0"/>
          <w:sz w:val="24"/>
          <w:highlight w:val="none"/>
        </w:rPr>
        <w:t>本人以法定代表人的身份代表本单位郑重承诺：</w:t>
      </w:r>
    </w:p>
    <w:p w14:paraId="291FA04A">
      <w:pPr>
        <w:widowControl/>
        <w:shd w:val="clear" w:color="auto" w:fill="FFFFFF"/>
        <w:spacing w:line="400" w:lineRule="exact"/>
        <w:ind w:firstLine="420"/>
        <w:rPr>
          <w:rFonts w:cs="宋体"/>
          <w:color w:val="auto"/>
          <w:kern w:val="0"/>
          <w:sz w:val="24"/>
          <w:highlight w:val="none"/>
        </w:rPr>
      </w:pPr>
      <w:r>
        <w:rPr>
          <w:rFonts w:hint="eastAsia" w:ascii="宋体" w:hAnsi="宋体" w:cs="宋体"/>
          <w:color w:val="auto"/>
          <w:kern w:val="0"/>
          <w:sz w:val="24"/>
          <w:highlight w:val="none"/>
        </w:rPr>
        <w:t>一、本单位将遵循公开、公正和诚实信用的原则参加</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（项目名称）</w:t>
      </w:r>
      <w:r>
        <w:rPr>
          <w:rFonts w:hint="eastAsia" w:ascii="宋体" w:hAnsi="宋体" w:cs="宋体"/>
          <w:color w:val="auto"/>
          <w:kern w:val="0"/>
          <w:sz w:val="24"/>
          <w:highlight w:val="none"/>
        </w:rPr>
        <w:t>招标项目的投标。</w:t>
      </w:r>
    </w:p>
    <w:p w14:paraId="4125EF7D">
      <w:pPr>
        <w:widowControl/>
        <w:shd w:val="clear" w:color="auto" w:fill="FFFFFF"/>
        <w:spacing w:line="400" w:lineRule="exact"/>
        <w:ind w:firstLine="420"/>
        <w:rPr>
          <w:rFonts w:cs="宋体"/>
          <w:color w:val="auto"/>
          <w:kern w:val="0"/>
          <w:sz w:val="24"/>
          <w:highlight w:val="none"/>
        </w:rPr>
      </w:pPr>
      <w:r>
        <w:rPr>
          <w:rFonts w:hint="eastAsia" w:ascii="宋体" w:hAnsi="宋体" w:cs="宋体"/>
          <w:color w:val="auto"/>
          <w:kern w:val="0"/>
          <w:sz w:val="24"/>
          <w:highlight w:val="none"/>
        </w:rPr>
        <w:t>二、本单位所提供的一切材料都是真实、有效、合法的，没有伪（变）造或虚假成分。</w:t>
      </w:r>
    </w:p>
    <w:p w14:paraId="1FA510EA">
      <w:pPr>
        <w:widowControl/>
        <w:shd w:val="clear" w:color="auto" w:fill="FFFFFF"/>
        <w:spacing w:line="400" w:lineRule="exact"/>
        <w:ind w:firstLine="420"/>
        <w:rPr>
          <w:rFonts w:cs="宋体"/>
          <w:color w:val="auto"/>
          <w:kern w:val="0"/>
          <w:sz w:val="24"/>
          <w:highlight w:val="none"/>
        </w:rPr>
      </w:pPr>
      <w:r>
        <w:rPr>
          <w:rFonts w:hint="eastAsia" w:ascii="宋体" w:hAnsi="宋体" w:cs="宋体"/>
          <w:color w:val="auto"/>
          <w:kern w:val="0"/>
          <w:sz w:val="24"/>
          <w:highlight w:val="none"/>
        </w:rPr>
        <w:t>三、本单位自觉维护招投标市场秩序，不以他人名义投标，不出借、转让、买卖、伪造企业或从业人员的资质证书、证照、业绩、获奖等相关资信证明文件和印章，也不允许其他企业或个人以本单位名义投标。</w:t>
      </w:r>
    </w:p>
    <w:p w14:paraId="00DDF1A1">
      <w:pPr>
        <w:widowControl/>
        <w:shd w:val="clear" w:color="auto" w:fill="FFFFFF"/>
        <w:spacing w:line="400" w:lineRule="exact"/>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四、本单位自觉接受本招标项目招标文件的规则要求参与投标，依法公平竞争，不采取虚假或恶意投诉等不正当手段损害、侵犯招标人或其他投标人的正当权益。</w:t>
      </w:r>
    </w:p>
    <w:p w14:paraId="7A2E9BD1">
      <w:pPr>
        <w:widowControl/>
        <w:shd w:val="clear" w:color="auto" w:fill="FFFFFF"/>
        <w:spacing w:line="400" w:lineRule="exact"/>
        <w:ind w:firstLine="420"/>
        <w:rPr>
          <w:color w:val="auto"/>
          <w:sz w:val="24"/>
          <w:highlight w:val="none"/>
        </w:rPr>
      </w:pPr>
      <w:r>
        <w:rPr>
          <w:rFonts w:hint="eastAsia" w:eastAsia="宋体"/>
          <w:color w:val="auto"/>
          <w:sz w:val="24"/>
          <w:highlight w:val="none"/>
          <w:lang w:eastAsia="zh-CN"/>
        </w:rPr>
        <w:t>□</w:t>
      </w:r>
      <w:r>
        <w:rPr>
          <w:rFonts w:hint="eastAsia"/>
          <w:color w:val="auto"/>
          <w:sz w:val="24"/>
          <w:highlight w:val="none"/>
        </w:rPr>
        <w:t>五、本单位为大中型企业，通过</w:t>
      </w:r>
      <w:r>
        <w:rPr>
          <w:rFonts w:hint="eastAsia"/>
          <w:color w:val="auto"/>
          <w:sz w:val="24"/>
          <w:highlight w:val="none"/>
          <w:u w:val="single"/>
        </w:rPr>
        <w:t xml:space="preserve">                       </w:t>
      </w:r>
      <w:r>
        <w:rPr>
          <w:rFonts w:hint="eastAsia"/>
          <w:color w:val="auto"/>
          <w:sz w:val="24"/>
          <w:highlight w:val="none"/>
        </w:rPr>
        <w:t>（与小微企业组成联合体/向一家或者多家小微企业分包）的方式参与投标，</w:t>
      </w:r>
      <w:r>
        <w:rPr>
          <w:rFonts w:hint="eastAsia"/>
          <w:color w:val="auto"/>
          <w:sz w:val="24"/>
          <w:highlight w:val="none"/>
          <w:u w:val="single"/>
        </w:rPr>
        <w:t xml:space="preserve">        </w:t>
      </w:r>
      <w:r>
        <w:rPr>
          <w:rFonts w:hint="eastAsia"/>
          <w:color w:val="auto"/>
          <w:sz w:val="24"/>
          <w:highlight w:val="none"/>
        </w:rPr>
        <w:t>（联合协议/分包意向协议）中约定的小微企业的合同份额占到合同总金额30%以上。</w:t>
      </w:r>
    </w:p>
    <w:p w14:paraId="50012A65">
      <w:pPr>
        <w:widowControl/>
        <w:shd w:val="clear" w:color="auto" w:fill="FFFFFF"/>
        <w:spacing w:line="400" w:lineRule="exact"/>
        <w:rPr>
          <w:rFonts w:hint="eastAsia" w:cs="宋体"/>
          <w:color w:val="auto"/>
          <w:kern w:val="0"/>
          <w:sz w:val="24"/>
          <w:highlight w:val="none"/>
        </w:rPr>
      </w:pPr>
      <w:r>
        <w:rPr>
          <w:rFonts w:hint="eastAsia" w:ascii="宋体" w:hAnsi="宋体" w:cs="宋体"/>
          <w:b/>
          <w:bCs/>
          <w:color w:val="auto"/>
          <w:kern w:val="0"/>
          <w:sz w:val="24"/>
          <w:highlight w:val="none"/>
        </w:rPr>
        <w:t xml:space="preserve">    以上内容本人已仔细阅读，本单位如违反上述承诺内容，愿意接受行业主管部门按照有关规定进行的处理（处罚）。</w:t>
      </w:r>
    </w:p>
    <w:p w14:paraId="32294F49">
      <w:pPr>
        <w:widowControl/>
        <w:shd w:val="clear" w:color="auto" w:fill="FFFFFF"/>
        <w:spacing w:line="400" w:lineRule="exact"/>
        <w:rPr>
          <w:rFonts w:cs="宋体"/>
          <w:color w:val="auto"/>
          <w:kern w:val="0"/>
          <w:sz w:val="24"/>
          <w:highlight w:val="none"/>
        </w:rPr>
      </w:pPr>
    </w:p>
    <w:p w14:paraId="2BB5D12D">
      <w:pPr>
        <w:widowControl/>
        <w:shd w:val="clear" w:color="auto" w:fill="FFFFFF"/>
        <w:spacing w:line="400" w:lineRule="exact"/>
        <w:ind w:firstLine="3780"/>
        <w:rPr>
          <w:rFonts w:hint="eastAsia" w:ascii="宋体" w:hAnsi="宋体" w:cs="宋体"/>
          <w:color w:val="auto"/>
          <w:kern w:val="0"/>
          <w:sz w:val="24"/>
          <w:highlight w:val="none"/>
        </w:rPr>
      </w:pPr>
    </w:p>
    <w:p w14:paraId="7A209C68">
      <w:pPr>
        <w:widowControl/>
        <w:shd w:val="clear" w:color="auto" w:fill="FFFFFF"/>
        <w:spacing w:line="400" w:lineRule="exact"/>
        <w:ind w:firstLine="3780"/>
        <w:rPr>
          <w:rFonts w:hint="eastAsia" w:ascii="宋体" w:hAnsi="宋体" w:cs="宋体"/>
          <w:color w:val="auto"/>
          <w:kern w:val="0"/>
          <w:sz w:val="24"/>
          <w:highlight w:val="none"/>
        </w:rPr>
      </w:pPr>
    </w:p>
    <w:p w14:paraId="374D978A">
      <w:pPr>
        <w:widowControl/>
        <w:shd w:val="clear" w:color="auto" w:fill="FFFFFF"/>
        <w:spacing w:line="400" w:lineRule="exact"/>
        <w:ind w:firstLine="2880" w:firstLineChars="1200"/>
        <w:rPr>
          <w:rFonts w:hint="eastAsia" w:ascii="宋体" w:hAnsi="宋体" w:cs="宋体"/>
          <w:color w:val="auto"/>
          <w:kern w:val="0"/>
          <w:sz w:val="24"/>
          <w:highlight w:val="none"/>
        </w:rPr>
      </w:pPr>
      <w:r>
        <w:rPr>
          <w:rFonts w:hint="eastAsia" w:ascii="宋体" w:hAnsi="宋体" w:cs="宋体"/>
          <w:color w:val="auto"/>
          <w:kern w:val="0"/>
          <w:sz w:val="24"/>
          <w:highlight w:val="none"/>
        </w:rPr>
        <w:t>投标人：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（盖公章）</w:t>
      </w:r>
    </w:p>
    <w:p w14:paraId="2749B49D">
      <w:pPr>
        <w:widowControl/>
        <w:shd w:val="clear" w:color="auto" w:fill="FFFFFF"/>
        <w:spacing w:line="400" w:lineRule="exact"/>
        <w:ind w:firstLine="3780"/>
        <w:rPr>
          <w:rFonts w:hint="eastAsia" w:ascii="宋体" w:hAnsi="宋体" w:cs="宋体"/>
          <w:color w:val="auto"/>
          <w:kern w:val="0"/>
          <w:sz w:val="24"/>
          <w:highlight w:val="none"/>
        </w:rPr>
      </w:pPr>
    </w:p>
    <w:p w14:paraId="0CED90B1">
      <w:pPr>
        <w:widowControl/>
        <w:shd w:val="clear" w:color="auto" w:fill="FFFFFF"/>
        <w:spacing w:line="400" w:lineRule="exact"/>
        <w:ind w:right="0" w:firstLine="2880" w:firstLineChars="1200"/>
        <w:rPr>
          <w:rFonts w:hint="eastAsia" w:ascii="宋体" w:hAnsi="宋体" w:cs="宋体"/>
          <w:color w:val="auto"/>
          <w:kern w:val="0"/>
          <w:sz w:val="24"/>
          <w:highlight w:val="none"/>
        </w:rPr>
      </w:pPr>
      <w:r>
        <w:rPr>
          <w:rFonts w:hint="eastAsia" w:ascii="宋体" w:hAnsi="宋体" w:cs="宋体"/>
          <w:color w:val="auto"/>
          <w:kern w:val="0"/>
          <w:sz w:val="24"/>
          <w:highlight w:val="none"/>
        </w:rPr>
        <w:t>法定代表人：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（签字）</w:t>
      </w:r>
    </w:p>
    <w:p w14:paraId="299AD0F8">
      <w:pPr>
        <w:widowControl/>
        <w:shd w:val="clear" w:color="auto" w:fill="FFFFFF"/>
        <w:spacing w:line="400" w:lineRule="exact"/>
        <w:ind w:right="0" w:firstLine="3780"/>
        <w:rPr>
          <w:rFonts w:hint="eastAsia" w:ascii="宋体" w:hAnsi="宋体" w:cs="宋体"/>
          <w:color w:val="auto"/>
          <w:kern w:val="0"/>
          <w:sz w:val="24"/>
          <w:highlight w:val="none"/>
        </w:rPr>
      </w:pPr>
    </w:p>
    <w:p w14:paraId="5FBFF441">
      <w:pPr>
        <w:widowControl/>
        <w:shd w:val="clear" w:color="auto" w:fill="FFFFFF"/>
        <w:spacing w:line="400" w:lineRule="exact"/>
        <w:ind w:right="480"/>
        <w:jc w:val="right"/>
        <w:rPr>
          <w:rFonts w:hint="eastAsia"/>
          <w:color w:val="auto"/>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560C7B6B">
      <w:pPr>
        <w:spacing w:line="400" w:lineRule="exact"/>
        <w:rPr>
          <w:rFonts w:hint="eastAsia"/>
          <w:color w:val="auto"/>
          <w:sz w:val="24"/>
          <w:highlight w:val="none"/>
        </w:rPr>
      </w:pPr>
    </w:p>
    <w:p w14:paraId="0038A3F8">
      <w:pPr>
        <w:tabs>
          <w:tab w:val="left" w:pos="2520"/>
        </w:tabs>
        <w:jc w:val="center"/>
        <w:outlineLvl w:val="3"/>
        <w:rPr>
          <w:rFonts w:hint="eastAsia"/>
          <w:color w:val="auto"/>
          <w:sz w:val="28"/>
          <w:highlight w:val="none"/>
        </w:rPr>
      </w:pPr>
      <w:r>
        <w:rPr>
          <w:rFonts w:hint="eastAsia" w:ascii="黑体" w:hAnsi="黑体" w:eastAsia="黑体" w:cs="黑体"/>
          <w:color w:val="auto"/>
          <w:sz w:val="30"/>
          <w:szCs w:val="30"/>
          <w:highlight w:val="none"/>
        </w:rPr>
        <w:br w:type="page"/>
      </w:r>
      <w:r>
        <w:rPr>
          <w:rFonts w:hint="eastAsia" w:ascii="黑体" w:hAnsi="黑体" w:eastAsia="黑体" w:cs="黑体"/>
          <w:color w:val="auto"/>
          <w:sz w:val="30"/>
          <w:szCs w:val="30"/>
          <w:highlight w:val="none"/>
        </w:rPr>
        <w:t>附表</w:t>
      </w:r>
      <w:r>
        <w:rPr>
          <w:rFonts w:hint="eastAsia" w:ascii="黑体" w:hAnsi="黑体" w:eastAsia="黑体" w:cs="黑体"/>
          <w:color w:val="auto"/>
          <w:sz w:val="30"/>
          <w:szCs w:val="30"/>
          <w:highlight w:val="none"/>
          <w:lang w:val="en-US" w:eastAsia="zh-CN"/>
        </w:rPr>
        <w:t>五</w:t>
      </w:r>
      <w:r>
        <w:rPr>
          <w:rFonts w:hint="eastAsia" w:ascii="黑体" w:hAnsi="黑体" w:eastAsia="黑体" w:cs="黑体"/>
          <w:color w:val="auto"/>
          <w:sz w:val="30"/>
          <w:szCs w:val="30"/>
          <w:highlight w:val="none"/>
        </w:rPr>
        <w:t xml:space="preserve">  企业信誉（信用）状况声明</w:t>
      </w:r>
    </w:p>
    <w:p w14:paraId="68F5A147">
      <w:pPr>
        <w:spacing w:line="540" w:lineRule="exact"/>
        <w:rPr>
          <w:rFonts w:hint="eastAsia" w:ascii="宋体" w:hAnsi="宋体" w:cs="宋体"/>
          <w:color w:val="auto"/>
          <w:kern w:val="0"/>
          <w:szCs w:val="21"/>
          <w:highlight w:val="none"/>
          <w:u w:val="single"/>
        </w:rPr>
      </w:pPr>
    </w:p>
    <w:p w14:paraId="1A59D6DD">
      <w:pPr>
        <w:spacing w:line="400" w:lineRule="exact"/>
        <w:rPr>
          <w:rFonts w:hint="eastAsia" w:ascii="宋体" w:hAnsi="宋体" w:cs="宋体"/>
          <w:color w:val="auto"/>
          <w:sz w:val="24"/>
          <w:highlight w:val="none"/>
          <w:u w:val="single"/>
        </w:rPr>
      </w:pPr>
      <w:r>
        <w:rPr>
          <w:rFonts w:hint="eastAsia" w:ascii="宋体" w:hAnsi="宋体" w:cs="宋体"/>
          <w:color w:val="auto"/>
          <w:kern w:val="0"/>
          <w:sz w:val="24"/>
          <w:highlight w:val="none"/>
        </w:rPr>
        <w:t>致：</w:t>
      </w:r>
      <w:r>
        <w:rPr>
          <w:rFonts w:hint="eastAsia" w:ascii="宋体" w:hAnsi="宋体" w:cs="宋体"/>
          <w:color w:val="auto"/>
          <w:kern w:val="0"/>
          <w:sz w:val="24"/>
          <w:highlight w:val="none"/>
          <w:u w:val="single"/>
        </w:rPr>
        <w:t xml:space="preserve">        （招标人）     </w:t>
      </w:r>
    </w:p>
    <w:p w14:paraId="5147D9F6">
      <w:pPr>
        <w:widowControl/>
        <w:numPr>
          <w:ilvl w:val="0"/>
          <w:numId w:val="0"/>
        </w:numPr>
        <w:shd w:val="clear" w:color="auto" w:fill="FFFFFF"/>
        <w:spacing w:line="400" w:lineRule="exact"/>
        <w:ind w:left="0"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经慎</w:t>
      </w:r>
      <w:r>
        <w:rPr>
          <w:rFonts w:hint="eastAsia" w:ascii="宋体" w:hAnsi="宋体" w:cs="宋体"/>
          <w:color w:val="auto"/>
          <w:sz w:val="24"/>
          <w:highlight w:val="none"/>
        </w:rPr>
        <w:t>重、认真核查，本单位郑重声明如下：</w:t>
      </w:r>
    </w:p>
    <w:p w14:paraId="5FAC9F3E">
      <w:pPr>
        <w:widowControl/>
        <w:numPr>
          <w:ilvl w:val="0"/>
          <w:numId w:val="0"/>
        </w:numPr>
        <w:shd w:val="clear" w:color="auto" w:fill="FFFFFF"/>
        <w:spacing w:line="400" w:lineRule="exact"/>
        <w:ind w:left="0" w:firstLine="480" w:firstLineChars="200"/>
        <w:rPr>
          <w:rFonts w:hint="eastAsia" w:ascii="宋体" w:hAnsi="宋体" w:cs="宋体"/>
          <w:color w:val="auto"/>
          <w:sz w:val="24"/>
          <w:highlight w:val="none"/>
        </w:rPr>
      </w:pPr>
      <w:r>
        <w:rPr>
          <w:rFonts w:hint="eastAsia" w:ascii="宋体" w:hAnsi="宋体" w:cs="宋体"/>
          <w:color w:val="auto"/>
          <w:sz w:val="24"/>
          <w:highlight w:val="none"/>
        </w:rPr>
        <w:t>一、本单位近3年内（从投标截止之日起倒算）没有发生骗取中标、严重违约、重大工程质量问题的情况。</w:t>
      </w:r>
    </w:p>
    <w:p w14:paraId="7207DBF8">
      <w:pPr>
        <w:widowControl/>
        <w:numPr>
          <w:ilvl w:val="0"/>
          <w:numId w:val="0"/>
        </w:numPr>
        <w:shd w:val="clear" w:color="auto" w:fill="FFFFFF"/>
        <w:spacing w:line="400" w:lineRule="exact"/>
        <w:ind w:left="0" w:firstLine="480" w:firstLineChars="200"/>
        <w:rPr>
          <w:rFonts w:hint="eastAsia" w:ascii="宋体" w:hAnsi="宋体" w:cs="宋体"/>
          <w:color w:val="auto"/>
          <w:sz w:val="24"/>
          <w:highlight w:val="none"/>
        </w:rPr>
      </w:pPr>
      <w:r>
        <w:rPr>
          <w:rFonts w:hint="eastAsia" w:ascii="宋体" w:hAnsi="宋体" w:cs="宋体"/>
          <w:color w:val="auto"/>
          <w:sz w:val="24"/>
          <w:highlight w:val="none"/>
        </w:rPr>
        <w:t>二、本单位目前没有处于被责令停业，财产被接管、冻结，破产状态。</w:t>
      </w:r>
    </w:p>
    <w:p w14:paraId="4F2E9000">
      <w:pPr>
        <w:widowControl/>
        <w:numPr>
          <w:ilvl w:val="0"/>
          <w:numId w:val="0"/>
        </w:numPr>
        <w:shd w:val="clear" w:color="auto" w:fill="FFFFFF"/>
        <w:spacing w:line="400" w:lineRule="exact"/>
        <w:ind w:left="0" w:firstLine="480" w:firstLineChars="200"/>
        <w:rPr>
          <w:rFonts w:hint="eastAsia" w:ascii="宋体" w:hAnsi="宋体" w:cs="宋体"/>
          <w:color w:val="auto"/>
          <w:sz w:val="24"/>
          <w:highlight w:val="none"/>
        </w:rPr>
      </w:pPr>
      <w:r>
        <w:rPr>
          <w:rFonts w:hint="eastAsia" w:ascii="宋体" w:hAnsi="宋体" w:cs="宋体"/>
          <w:color w:val="auto"/>
          <w:sz w:val="24"/>
          <w:highlight w:val="none"/>
        </w:rPr>
        <w:t>三、本单位目前没有处于被取消投标资格的行政处罚期内。</w:t>
      </w:r>
    </w:p>
    <w:p w14:paraId="443AF26E">
      <w:pPr>
        <w:widowControl/>
        <w:numPr>
          <w:ilvl w:val="0"/>
          <w:numId w:val="0"/>
        </w:numPr>
        <w:shd w:val="clear" w:color="auto" w:fill="FFFFFF"/>
        <w:spacing w:line="400" w:lineRule="exact"/>
        <w:ind w:left="0" w:firstLine="0" w:firstLineChars="0"/>
        <w:rPr>
          <w:rFonts w:hint="eastAsia" w:ascii="宋体" w:hAnsi="宋体" w:cs="宋体"/>
          <w:color w:val="auto"/>
          <w:sz w:val="24"/>
          <w:highlight w:val="none"/>
        </w:rPr>
      </w:pPr>
      <w:r>
        <w:rPr>
          <w:rFonts w:hint="eastAsia" w:ascii="宋体" w:hAnsi="宋体" w:cs="宋体"/>
          <w:color w:val="auto"/>
          <w:sz w:val="24"/>
          <w:highlight w:val="none"/>
        </w:rPr>
        <w:t xml:space="preserve">    四、本单位目前未被列为失信被执行人。</w:t>
      </w:r>
    </w:p>
    <w:p w14:paraId="70139553">
      <w:pPr>
        <w:widowControl/>
        <w:numPr>
          <w:ilvl w:val="0"/>
          <w:numId w:val="0"/>
        </w:numPr>
        <w:shd w:val="clear" w:color="auto" w:fill="FFFFFF"/>
        <w:spacing w:line="400" w:lineRule="exact"/>
        <w:ind w:left="0" w:firstLine="480" w:firstLineChars="200"/>
        <w:rPr>
          <w:rFonts w:hint="eastAsia" w:ascii="宋体" w:hAnsi="宋体" w:cs="宋体"/>
          <w:color w:val="auto"/>
          <w:sz w:val="24"/>
          <w:highlight w:val="none"/>
        </w:rPr>
      </w:pPr>
      <w:r>
        <w:rPr>
          <w:rFonts w:hint="eastAsia" w:ascii="宋体" w:hAnsi="宋体" w:cs="宋体"/>
          <w:color w:val="auto"/>
          <w:sz w:val="24"/>
          <w:highlight w:val="none"/>
        </w:rPr>
        <w:t>五、本单位目前未被列入失信名单。</w:t>
      </w:r>
    </w:p>
    <w:p w14:paraId="44EC6F89">
      <w:pPr>
        <w:numPr>
          <w:ilvl w:val="0"/>
          <w:numId w:val="0"/>
        </w:numPr>
        <w:shd w:val="clear" w:color="auto" w:fill="FFFFFF"/>
        <w:spacing w:line="400" w:lineRule="exact"/>
        <w:ind w:left="0" w:firstLine="420" w:firstLineChars="200"/>
        <w:rPr>
          <w:rFonts w:hint="eastAsia" w:ascii="宋体" w:hAnsi="宋体" w:cs="宋体"/>
          <w:color w:val="auto"/>
          <w:sz w:val="24"/>
          <w:szCs w:val="24"/>
          <w:highlight w:val="none"/>
        </w:rPr>
      </w:pPr>
      <w:r>
        <w:rPr>
          <w:rFonts w:hint="eastAsia" w:ascii="宋体" w:hAnsi="宋体"/>
          <w:color w:val="auto"/>
          <w:szCs w:val="21"/>
          <w:highlight w:val="none"/>
        </w:rPr>
        <w:t>□</w:t>
      </w:r>
      <w:r>
        <w:rPr>
          <w:rFonts w:hint="eastAsia" w:ascii="宋体" w:hAnsi="宋体" w:cs="宋体"/>
          <w:color w:val="auto"/>
          <w:sz w:val="24"/>
          <w:szCs w:val="24"/>
          <w:highlight w:val="none"/>
        </w:rPr>
        <w:t>六、本单位</w:t>
      </w:r>
      <w:r>
        <w:rPr>
          <w:rFonts w:hint="eastAsia" w:ascii="宋体" w:hAnsi="宋体" w:cs="宋体"/>
          <w:color w:val="auto"/>
          <w:sz w:val="24"/>
          <w:highlight w:val="none"/>
        </w:rPr>
        <w:t>近3年内（从投标截止之日起倒算）未在佛山市发生过较大以上安全生产事故</w:t>
      </w:r>
      <w:r>
        <w:rPr>
          <w:rFonts w:hint="eastAsia" w:ascii="宋体" w:hAnsi="宋体" w:cs="宋体"/>
          <w:color w:val="auto"/>
          <w:sz w:val="24"/>
          <w:szCs w:val="24"/>
          <w:highlight w:val="none"/>
        </w:rPr>
        <w:t>。</w:t>
      </w:r>
    </w:p>
    <w:p w14:paraId="0B00061C">
      <w:pPr>
        <w:widowControl/>
        <w:numPr>
          <w:ilvl w:val="0"/>
          <w:numId w:val="0"/>
        </w:numPr>
        <w:shd w:val="clear" w:color="auto" w:fill="FFFFFF"/>
        <w:spacing w:line="320" w:lineRule="exact"/>
        <w:ind w:left="0" w:firstLine="420" w:firstLineChars="200"/>
        <w:rPr>
          <w:rFonts w:hint="eastAsia" w:ascii="宋体" w:hAnsi="宋体" w:cs="宋体"/>
          <w:color w:val="auto"/>
          <w:sz w:val="24"/>
          <w:szCs w:val="24"/>
          <w:highlight w:val="none"/>
        </w:rPr>
      </w:pPr>
      <w:r>
        <w:rPr>
          <w:rFonts w:hint="eastAsia" w:ascii="宋体" w:hAnsi="宋体"/>
          <w:color w:val="auto"/>
          <w:szCs w:val="21"/>
          <w:highlight w:val="none"/>
        </w:rPr>
        <w:t>□</w:t>
      </w:r>
      <w:r>
        <w:rPr>
          <w:rFonts w:hint="eastAsia" w:ascii="宋体" w:hAnsi="宋体" w:cs="宋体"/>
          <w:color w:val="auto"/>
          <w:sz w:val="24"/>
          <w:highlight w:val="none"/>
        </w:rPr>
        <w:t>七、本单位近2年内（从投标截止之日起倒算）</w:t>
      </w:r>
      <w:r>
        <w:rPr>
          <w:rFonts w:hint="eastAsia" w:ascii="宋体" w:hAnsi="宋体" w:cs="宋体"/>
          <w:color w:val="auto"/>
          <w:sz w:val="24"/>
          <w:szCs w:val="24"/>
          <w:highlight w:val="none"/>
        </w:rPr>
        <w:t>未在佛山市本招标项目行业领域发生过拒不履行合同或者履约评价不合格。</w:t>
      </w:r>
    </w:p>
    <w:p w14:paraId="36B47605">
      <w:pPr>
        <w:widowControl/>
        <w:numPr>
          <w:ilvl w:val="0"/>
          <w:numId w:val="0"/>
        </w:numPr>
        <w:shd w:val="clear" w:color="auto" w:fill="FFFFFF"/>
        <w:spacing w:line="400" w:lineRule="exact"/>
        <w:ind w:left="0" w:firstLine="480" w:firstLineChars="200"/>
        <w:rPr>
          <w:rFonts w:hint="eastAsia" w:ascii="宋体" w:hAnsi="宋体" w:cs="宋体"/>
          <w:color w:val="auto"/>
          <w:sz w:val="24"/>
          <w:szCs w:val="24"/>
          <w:highlight w:val="none"/>
        </w:rPr>
      </w:pPr>
      <w:r>
        <w:rPr>
          <w:rFonts w:hint="eastAsia" w:ascii="宋体" w:hAnsi="宋体"/>
          <w:color w:val="auto"/>
          <w:sz w:val="24"/>
          <w:szCs w:val="24"/>
          <w:highlight w:val="none"/>
        </w:rPr>
        <w:t>□八</w:t>
      </w:r>
      <w:r>
        <w:rPr>
          <w:rFonts w:hint="eastAsia" w:ascii="宋体" w:hAnsi="宋体" w:cs="宋体"/>
          <w:color w:val="auto"/>
          <w:sz w:val="24"/>
          <w:szCs w:val="24"/>
          <w:highlight w:val="none"/>
        </w:rPr>
        <w:t>、本单位近1年内（从投标截止之日起倒算）未在佛山市招标投标活动中提出两次以上投诉但查无实据。</w:t>
      </w:r>
    </w:p>
    <w:p w14:paraId="6D21A752">
      <w:pPr>
        <w:spacing w:after="120"/>
        <w:ind w:firstLine="240" w:firstLineChars="100"/>
        <w:rPr>
          <w:rFonts w:hint="eastAsia" w:ascii="@微软简标宋" w:hAnsi="@微软简标宋" w:eastAsia="@微软简标宋" w:cs="@微软简标宋"/>
          <w:color w:val="auto"/>
          <w:sz w:val="24"/>
          <w:szCs w:val="24"/>
          <w:highlight w:val="none"/>
        </w:rPr>
      </w:pPr>
      <w:r>
        <w:rPr>
          <w:rFonts w:hint="eastAsia" w:ascii="宋体" w:hAnsi="宋体" w:eastAsia="@微软简标宋" w:cs="@微软简标宋"/>
          <w:color w:val="auto"/>
          <w:sz w:val="24"/>
          <w:szCs w:val="24"/>
          <w:highlight w:val="none"/>
          <w:lang w:val="zh-CN"/>
        </w:rPr>
        <w:t>□九</w:t>
      </w:r>
      <w:r>
        <w:rPr>
          <w:rFonts w:hint="eastAsia" w:ascii="宋体" w:hAnsi="宋体" w:cs="宋体"/>
          <w:color w:val="auto"/>
          <w:sz w:val="24"/>
          <w:szCs w:val="24"/>
          <w:highlight w:val="none"/>
        </w:rPr>
        <w:t>、本单位未因串通投标、采用行贿手段谋取中标、以他人名义投标或者以其他方式弄虚作假骗取中标等违法行为受到过被取消投标资格的行政处罚，且在被取消投标资格的行政处罚期内。</w:t>
      </w:r>
    </w:p>
    <w:p w14:paraId="5E22D439">
      <w:pPr>
        <w:widowControl/>
        <w:shd w:val="clear" w:color="auto" w:fill="FFFFFF"/>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本单位不会向招标人、评标委员会故意隐瞒上述情况的相关信息。</w:t>
      </w:r>
    </w:p>
    <w:p w14:paraId="66393C45">
      <w:pPr>
        <w:widowControl/>
        <w:shd w:val="clear" w:color="auto" w:fill="FFFFFF"/>
        <w:spacing w:line="400" w:lineRule="exact"/>
        <w:ind w:firstLine="0"/>
        <w:rPr>
          <w:rFonts w:hint="eastAsia"/>
          <w:color w:val="auto"/>
          <w:sz w:val="24"/>
          <w:highlight w:val="none"/>
        </w:rPr>
      </w:pPr>
    </w:p>
    <w:p w14:paraId="23FD419D">
      <w:pPr>
        <w:widowControl/>
        <w:shd w:val="clear" w:color="auto" w:fill="FFFFFF"/>
        <w:spacing w:line="400" w:lineRule="exact"/>
        <w:ind w:firstLine="0"/>
        <w:rPr>
          <w:rFonts w:hint="eastAsia" w:ascii="宋体" w:hAnsi="宋体" w:cs="宋体"/>
          <w:color w:val="auto"/>
          <w:kern w:val="0"/>
          <w:sz w:val="24"/>
          <w:highlight w:val="none"/>
        </w:rPr>
      </w:pPr>
    </w:p>
    <w:p w14:paraId="005BE9FE">
      <w:pPr>
        <w:widowControl/>
        <w:shd w:val="clear" w:color="auto" w:fill="FFFFFF"/>
        <w:spacing w:line="400" w:lineRule="exact"/>
        <w:ind w:firstLine="2880" w:firstLineChars="1200"/>
        <w:rPr>
          <w:rFonts w:hint="eastAsia" w:ascii="宋体" w:hAnsi="宋体" w:cs="宋体"/>
          <w:color w:val="auto"/>
          <w:kern w:val="0"/>
          <w:sz w:val="24"/>
          <w:highlight w:val="none"/>
        </w:rPr>
      </w:pPr>
      <w:r>
        <w:rPr>
          <w:rFonts w:hint="eastAsia" w:ascii="宋体" w:hAnsi="宋体" w:cs="宋体"/>
          <w:color w:val="auto"/>
          <w:kern w:val="0"/>
          <w:sz w:val="24"/>
          <w:highlight w:val="none"/>
        </w:rPr>
        <w:t>投标人：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（盖公章）</w:t>
      </w:r>
    </w:p>
    <w:p w14:paraId="5DFC92A1">
      <w:pPr>
        <w:widowControl/>
        <w:shd w:val="clear" w:color="auto" w:fill="FFFFFF"/>
        <w:spacing w:line="400" w:lineRule="exact"/>
        <w:ind w:firstLine="3780"/>
        <w:rPr>
          <w:rFonts w:hint="eastAsia" w:ascii="宋体" w:hAnsi="宋体" w:cs="宋体"/>
          <w:color w:val="auto"/>
          <w:kern w:val="0"/>
          <w:sz w:val="24"/>
          <w:highlight w:val="none"/>
        </w:rPr>
      </w:pPr>
    </w:p>
    <w:p w14:paraId="4ADD96A9">
      <w:pPr>
        <w:widowControl/>
        <w:shd w:val="clear" w:color="auto" w:fill="FFFFFF"/>
        <w:spacing w:line="400" w:lineRule="exact"/>
        <w:ind w:right="0" w:firstLine="2160" w:firstLineChars="9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（签字（章））</w:t>
      </w:r>
    </w:p>
    <w:p w14:paraId="6CC1F8DE">
      <w:pPr>
        <w:widowControl/>
        <w:shd w:val="clear" w:color="auto" w:fill="FFFFFF"/>
        <w:spacing w:line="400" w:lineRule="exact"/>
        <w:ind w:right="0" w:firstLine="3780"/>
        <w:rPr>
          <w:rFonts w:hint="eastAsia" w:ascii="宋体" w:hAnsi="宋体" w:cs="宋体"/>
          <w:color w:val="auto"/>
          <w:kern w:val="0"/>
          <w:sz w:val="24"/>
          <w:highlight w:val="none"/>
        </w:rPr>
      </w:pPr>
    </w:p>
    <w:p w14:paraId="7AB5D587">
      <w:pPr>
        <w:widowControl/>
        <w:shd w:val="clear" w:color="auto" w:fill="FFFFFF"/>
        <w:spacing w:line="400" w:lineRule="exact"/>
        <w:ind w:right="480"/>
        <w:jc w:val="right"/>
        <w:rPr>
          <w:rFonts w:hint="eastAsia"/>
          <w:color w:val="auto"/>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0CF2B262">
      <w:pPr>
        <w:rPr>
          <w:rFonts w:hint="eastAsia"/>
          <w:color w:val="auto"/>
          <w:sz w:val="24"/>
          <w:highlight w:val="none"/>
        </w:rPr>
      </w:pPr>
    </w:p>
    <w:p w14:paraId="417B590F">
      <w:pPr>
        <w:ind w:left="960" w:hanging="960" w:hangingChars="400"/>
        <w:rPr>
          <w:rFonts w:hint="eastAsia"/>
          <w:color w:val="auto"/>
          <w:sz w:val="24"/>
          <w:highlight w:val="none"/>
        </w:rPr>
      </w:pPr>
    </w:p>
    <w:p w14:paraId="4C4AB44F">
      <w:pPr>
        <w:widowControl/>
        <w:shd w:val="clear" w:color="auto" w:fill="FFFFFF"/>
        <w:spacing w:line="400" w:lineRule="exact"/>
        <w:ind w:left="0" w:leftChars="0" w:firstLine="0" w:firstLineChars="0"/>
        <w:rPr>
          <w:rFonts w:hint="eastAsia" w:ascii="宋体" w:hAnsi="宋体" w:cs="宋体"/>
          <w:color w:val="auto"/>
          <w:kern w:val="0"/>
          <w:sz w:val="24"/>
          <w:highlight w:val="none"/>
        </w:rPr>
      </w:pPr>
      <w:r>
        <w:rPr>
          <w:rFonts w:hint="eastAsia" w:ascii="宋体" w:hAnsi="宋体" w:cs="宋体"/>
          <w:color w:val="auto"/>
          <w:kern w:val="0"/>
          <w:sz w:val="24"/>
          <w:highlight w:val="none"/>
        </w:rPr>
        <w:t>注：如为联合体投标人，联合体各方均须作出声明，须分别提交原件并分别加盖单位公章及签字。联合体成员单位由法定代表人签字的，应附法定代表人身份证明；由委托代理人签字的，应附授权委托书。</w:t>
      </w:r>
    </w:p>
    <w:p w14:paraId="04098AE8">
      <w:pPr>
        <w:keepNext/>
        <w:keepLines/>
        <w:numPr>
          <w:ilvl w:val="3"/>
          <w:numId w:val="0"/>
        </w:numPr>
        <w:tabs>
          <w:tab w:val="left" w:pos="2520"/>
        </w:tabs>
        <w:spacing w:before="280" w:after="290" w:line="400" w:lineRule="exact"/>
        <w:ind w:left="0" w:leftChars="0" w:firstLine="0"/>
        <w:jc w:val="center"/>
        <w:outlineLvl w:val="3"/>
        <w:rPr>
          <w:rFonts w:hint="eastAsia" w:ascii="Arial" w:hAnsi="Arial" w:eastAsia="黑体"/>
          <w:bCs/>
          <w:color w:val="auto"/>
          <w:sz w:val="28"/>
          <w:szCs w:val="24"/>
          <w:highlight w:val="none"/>
        </w:rPr>
      </w:pPr>
      <w:r>
        <w:rPr>
          <w:rFonts w:hint="eastAsia" w:ascii="黑体" w:hAnsi="黑体" w:eastAsia="黑体" w:cs="黑体"/>
          <w:bCs/>
          <w:color w:val="auto"/>
          <w:sz w:val="30"/>
          <w:szCs w:val="30"/>
          <w:highlight w:val="none"/>
        </w:rPr>
        <w:br w:type="page"/>
      </w:r>
      <w:r>
        <w:rPr>
          <w:rFonts w:hint="eastAsia" w:ascii="黑体" w:hAnsi="黑体" w:eastAsia="黑体" w:cs="黑体"/>
          <w:bCs/>
          <w:color w:val="auto"/>
          <w:sz w:val="30"/>
          <w:szCs w:val="30"/>
          <w:highlight w:val="none"/>
        </w:rPr>
        <w:t>附表</w:t>
      </w:r>
      <w:r>
        <w:rPr>
          <w:rFonts w:hint="eastAsia" w:ascii="黑体" w:hAnsi="黑体" w:eastAsia="黑体" w:cs="黑体"/>
          <w:bCs/>
          <w:color w:val="auto"/>
          <w:sz w:val="30"/>
          <w:szCs w:val="30"/>
          <w:highlight w:val="none"/>
          <w:lang w:val="en-US" w:eastAsia="zh-CN"/>
        </w:rPr>
        <w:t>六</w:t>
      </w:r>
      <w:r>
        <w:rPr>
          <w:rFonts w:hint="eastAsia" w:ascii="黑体" w:hAnsi="黑体" w:eastAsia="黑体" w:cs="黑体"/>
          <w:bCs/>
          <w:color w:val="auto"/>
          <w:sz w:val="30"/>
          <w:szCs w:val="30"/>
          <w:highlight w:val="none"/>
        </w:rPr>
        <w:t xml:space="preserve">  标后履约承诺书</w:t>
      </w:r>
    </w:p>
    <w:p w14:paraId="450D0242">
      <w:pPr>
        <w:widowControl/>
        <w:autoSpaceDE/>
        <w:autoSpaceDN/>
        <w:snapToGrid w:val="0"/>
        <w:spacing w:line="32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kern w:val="0"/>
          <w:szCs w:val="21"/>
          <w:highlight w:val="none"/>
          <w:u w:val="single"/>
        </w:rPr>
        <w:t xml:space="preserve">        （招标人）     </w:t>
      </w:r>
    </w:p>
    <w:p w14:paraId="455A956B">
      <w:pPr>
        <w:widowControl/>
        <w:autoSpaceDE w:val="0"/>
        <w:autoSpaceDN w:val="0"/>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我单位法定代表人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及投标文件中载明的项目负责人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已经认真阅读、知悉《佛山市政府投资工程建设项目标后履约监督管理办法（试行）》的全部内容。在</w:t>
      </w:r>
      <w:r>
        <w:rPr>
          <w:rFonts w:ascii="宋体" w:hAnsi="宋体" w:cs="宋体"/>
          <w:color w:val="auto"/>
          <w:szCs w:val="21"/>
          <w:highlight w:val="none"/>
        </w:rPr>
        <w:t>明确理解有关</w:t>
      </w:r>
      <w:r>
        <w:rPr>
          <w:rFonts w:hint="eastAsia" w:ascii="宋体" w:hAnsi="宋体" w:cs="宋体"/>
          <w:color w:val="auto"/>
          <w:szCs w:val="21"/>
          <w:highlight w:val="none"/>
        </w:rPr>
        <w:t>管理规定和</w:t>
      </w:r>
      <w:r>
        <w:rPr>
          <w:rFonts w:ascii="宋体" w:hAnsi="宋体" w:cs="宋体"/>
          <w:color w:val="auto"/>
          <w:szCs w:val="21"/>
          <w:highlight w:val="none"/>
        </w:rPr>
        <w:t>要求</w:t>
      </w:r>
      <w:r>
        <w:rPr>
          <w:rFonts w:hint="eastAsia" w:ascii="宋体" w:hAnsi="宋体" w:cs="宋体"/>
          <w:color w:val="auto"/>
          <w:szCs w:val="21"/>
          <w:highlight w:val="none"/>
        </w:rPr>
        <w:t>后，经过认真考虑，我单位决定参加贵方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（招标项目）的竞标，并做出以下真实意思表示的承诺：</w:t>
      </w:r>
    </w:p>
    <w:p w14:paraId="6C8785E3">
      <w:pPr>
        <w:widowControl/>
        <w:autoSpaceDE w:val="0"/>
        <w:autoSpaceDN w:val="0"/>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一旦我单位中标，我单位保证守法经营、诚信履约，无条件全面遵守《佛山市政府投资工程建设项目标后履约监督管理办法（试行）》并接受管理，包括但不限于：</w:t>
      </w:r>
    </w:p>
    <w:p w14:paraId="1C970F5D">
      <w:pPr>
        <w:widowControl/>
        <w:autoSpaceDE w:val="0"/>
        <w:autoSpaceDN w:val="0"/>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1.我单位将严格按照合同约定依法开展本项目分包，承诺</w:t>
      </w:r>
      <w:r>
        <w:rPr>
          <w:rFonts w:ascii="宋体" w:hAnsi="宋体" w:cs="宋体"/>
          <w:color w:val="auto"/>
          <w:szCs w:val="21"/>
          <w:highlight w:val="none"/>
        </w:rPr>
        <w:t>不转包</w:t>
      </w:r>
      <w:r>
        <w:rPr>
          <w:rFonts w:hint="eastAsia" w:ascii="宋体" w:hAnsi="宋体" w:cs="宋体"/>
          <w:color w:val="auto"/>
          <w:szCs w:val="21"/>
          <w:highlight w:val="none"/>
        </w:rPr>
        <w:t>、不</w:t>
      </w:r>
      <w:r>
        <w:rPr>
          <w:rFonts w:ascii="宋体" w:hAnsi="宋体" w:cs="宋体"/>
          <w:color w:val="auto"/>
          <w:szCs w:val="21"/>
          <w:highlight w:val="none"/>
        </w:rPr>
        <w:t>违法分包</w:t>
      </w:r>
      <w:r>
        <w:rPr>
          <w:rFonts w:hint="eastAsia" w:ascii="宋体" w:hAnsi="宋体" w:cs="宋体"/>
          <w:color w:val="auto"/>
          <w:szCs w:val="21"/>
          <w:highlight w:val="none"/>
        </w:rPr>
        <w:t>、不仅以最低价法进行分包；</w:t>
      </w:r>
    </w:p>
    <w:p w14:paraId="7AD99370">
      <w:pPr>
        <w:widowControl/>
        <w:autoSpaceDE w:val="0"/>
        <w:autoSpaceDN w:val="0"/>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2.我单位将严格按照合同约定、我单位投标文件和工程进度组织项目管理人员进场，承诺</w:t>
      </w:r>
      <w:r>
        <w:rPr>
          <w:rFonts w:ascii="宋体" w:hAnsi="宋体" w:cs="宋体"/>
          <w:color w:val="auto"/>
          <w:szCs w:val="21"/>
          <w:highlight w:val="none"/>
        </w:rPr>
        <w:t>不擅自更换</w:t>
      </w:r>
      <w:r>
        <w:rPr>
          <w:rFonts w:hint="eastAsia" w:ascii="宋体" w:hAnsi="宋体" w:cs="宋体"/>
          <w:color w:val="auto"/>
          <w:szCs w:val="21"/>
          <w:highlight w:val="none"/>
        </w:rPr>
        <w:t>项目负责人</w:t>
      </w:r>
      <w:r>
        <w:rPr>
          <w:rFonts w:ascii="宋体" w:hAnsi="宋体" w:cs="宋体"/>
          <w:color w:val="auto"/>
          <w:szCs w:val="21"/>
          <w:highlight w:val="none"/>
        </w:rPr>
        <w:t>等</w:t>
      </w:r>
      <w:r>
        <w:rPr>
          <w:rFonts w:hint="eastAsia" w:ascii="宋体" w:hAnsi="宋体" w:cs="宋体"/>
          <w:color w:val="auto"/>
          <w:szCs w:val="21"/>
          <w:highlight w:val="none"/>
        </w:rPr>
        <w:t>一切关键岗位人员，并根据工程的实际需要增派相关人员。</w:t>
      </w:r>
    </w:p>
    <w:p w14:paraId="40C78B57">
      <w:pPr>
        <w:widowControl/>
        <w:autoSpaceDE w:val="0"/>
        <w:autoSpaceDN w:val="0"/>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3.我单位将严格按照合同约定、我单位投标文件和进度，组织</w:t>
      </w:r>
      <w:r>
        <w:rPr>
          <w:rFonts w:hint="eastAsia" w:ascii="宋体" w:hAnsi="宋体" w:cs="宋体"/>
          <w:color w:val="auto"/>
          <w:szCs w:val="21"/>
          <w:highlight w:val="none"/>
          <w:lang w:val="en-US" w:eastAsia="zh-CN"/>
        </w:rPr>
        <w:t>监测</w:t>
      </w:r>
      <w:r>
        <w:rPr>
          <w:rFonts w:hint="eastAsia" w:ascii="宋体" w:hAnsi="宋体" w:cs="宋体"/>
          <w:color w:val="auto"/>
          <w:szCs w:val="21"/>
          <w:highlight w:val="none"/>
        </w:rPr>
        <w:t>，承诺根据项目的实际需要增加设备。</w:t>
      </w:r>
    </w:p>
    <w:p w14:paraId="43376CD8">
      <w:pPr>
        <w:widowControl/>
        <w:autoSpaceDE w:val="0"/>
        <w:autoSpaceDN w:val="0"/>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4.我单位将严格按照合同约定完全接受业主对本招标项目进度款项的监管和共管，承诺将本招标项目的款项全部用于本招标项目的支出，在合同工作内容结束前不以任何名义挪作他用。</w:t>
      </w:r>
    </w:p>
    <w:p w14:paraId="20B66B9F">
      <w:pPr>
        <w:widowControl/>
        <w:autoSpaceDE w:val="0"/>
        <w:autoSpaceDN w:val="0"/>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5.我单位承诺，在项目的实施过程中，我们完全响应招标文件的所有条款，履行合同义务。质量标准绝不低于招标文件或国家及广东省、佛山市地方强制性标准要求。</w:t>
      </w:r>
    </w:p>
    <w:p w14:paraId="33183311">
      <w:pPr>
        <w:widowControl/>
        <w:autoSpaceDE w:val="0"/>
        <w:autoSpaceDN w:val="0"/>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6.我单位完全响应和遵守招标文件及合同中规定的验收、计量、支付办法。</w:t>
      </w:r>
    </w:p>
    <w:p w14:paraId="39AEC804">
      <w:pPr>
        <w:widowControl/>
        <w:autoSpaceDE w:val="0"/>
        <w:autoSpaceDN w:val="0"/>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7.我单位承诺，在项目实施过程中，一定遵照投标文件中承诺的实施方案，精心</w:t>
      </w:r>
      <w:r>
        <w:rPr>
          <w:rFonts w:hint="eastAsia" w:ascii="宋体" w:hAnsi="宋体" w:cs="宋体"/>
          <w:color w:val="auto"/>
          <w:szCs w:val="21"/>
          <w:highlight w:val="none"/>
          <w:lang w:val="en-US" w:eastAsia="zh-CN"/>
        </w:rPr>
        <w:t>监测</w:t>
      </w:r>
      <w:r>
        <w:rPr>
          <w:rFonts w:hint="eastAsia" w:ascii="宋体" w:hAnsi="宋体" w:cs="宋体"/>
          <w:color w:val="auto"/>
          <w:szCs w:val="21"/>
          <w:highlight w:val="none"/>
        </w:rPr>
        <w:t>、精心勘察，确保满足相关规定和要求，并保护环境，按业主要求的工期完成</w:t>
      </w:r>
      <w:r>
        <w:rPr>
          <w:rFonts w:hint="eastAsia" w:ascii="宋体" w:hAnsi="宋体" w:cs="宋体"/>
          <w:color w:val="auto"/>
          <w:szCs w:val="21"/>
          <w:highlight w:val="none"/>
          <w:lang w:val="en-US" w:eastAsia="zh-CN"/>
        </w:rPr>
        <w:t>监测工作</w:t>
      </w:r>
      <w:r>
        <w:rPr>
          <w:rFonts w:hint="eastAsia" w:ascii="宋体" w:hAnsi="宋体" w:cs="宋体"/>
          <w:color w:val="auto"/>
          <w:szCs w:val="21"/>
          <w:highlight w:val="none"/>
        </w:rPr>
        <w:t>。</w:t>
      </w:r>
    </w:p>
    <w:p w14:paraId="016ED705">
      <w:pPr>
        <w:widowControl/>
        <w:autoSpaceDE w:val="0"/>
        <w:autoSpaceDN w:val="0"/>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8.我单位承诺，在工程实施过程中，严格按照有关的规定做好各项安全保障措施。</w:t>
      </w:r>
    </w:p>
    <w:p w14:paraId="4E7014F5">
      <w:pPr>
        <w:widowControl/>
        <w:autoSpaceDE/>
        <w:autoSpaceDN/>
        <w:snapToGrid w:val="0"/>
        <w:spacing w:line="320" w:lineRule="exact"/>
        <w:ind w:firstLine="420" w:firstLineChars="200"/>
        <w:textAlignment w:val="bottom"/>
        <w:rPr>
          <w:rFonts w:hint="eastAsia" w:ascii="宋体" w:hAnsi="宋体" w:cs="宋体"/>
          <w:color w:val="auto"/>
          <w:szCs w:val="21"/>
          <w:highlight w:val="none"/>
        </w:rPr>
      </w:pPr>
      <w:r>
        <w:rPr>
          <w:rFonts w:hint="eastAsia" w:ascii="宋体" w:hAnsi="宋体"/>
          <w:color w:val="auto"/>
          <w:szCs w:val="21"/>
          <w:highlight w:val="none"/>
        </w:rPr>
        <w:t>□9</w:t>
      </w:r>
      <w:r>
        <w:rPr>
          <w:rFonts w:hint="eastAsia" w:ascii="宋体" w:hAnsi="宋体" w:cs="宋体"/>
          <w:color w:val="auto"/>
          <w:szCs w:val="21"/>
          <w:highlight w:val="none"/>
        </w:rPr>
        <w:t>.我单位承诺，一定遵照投标文件中承诺的要求进行</w:t>
      </w:r>
      <w:r>
        <w:rPr>
          <w:rFonts w:ascii="宋体" w:hAnsi="宋体"/>
          <w:color w:val="auto"/>
          <w:szCs w:val="21"/>
          <w:highlight w:val="none"/>
        </w:rPr>
        <w:t>质量保修（售后服务）、服务响应</w:t>
      </w:r>
      <w:r>
        <w:rPr>
          <w:rFonts w:hint="eastAsia" w:ascii="宋体" w:hAnsi="宋体" w:cs="宋体"/>
          <w:color w:val="auto"/>
          <w:szCs w:val="21"/>
          <w:highlight w:val="none"/>
        </w:rPr>
        <w:t>。若我单位在项目实施过程中违背上述承诺，我单位自愿承担由此引起的一切法律后果和相关责任。</w:t>
      </w:r>
    </w:p>
    <w:p w14:paraId="4D2AECC4">
      <w:pPr>
        <w:widowControl/>
        <w:autoSpaceDE/>
        <w:autoSpaceDN/>
        <w:snapToGrid w:val="0"/>
        <w:spacing w:line="320" w:lineRule="exact"/>
        <w:ind w:firstLine="420" w:firstLineChars="200"/>
        <w:textAlignment w:val="bottom"/>
        <w:rPr>
          <w:rFonts w:hint="eastAsia" w:ascii="宋体" w:hAnsi="宋体" w:cs="宋体"/>
          <w:color w:val="auto"/>
          <w:szCs w:val="21"/>
          <w:highlight w:val="none"/>
        </w:rPr>
      </w:pPr>
    </w:p>
    <w:p w14:paraId="1B2B4D31">
      <w:pPr>
        <w:widowControl/>
        <w:autoSpaceDE/>
        <w:autoSpaceDN/>
        <w:snapToGrid w:val="0"/>
        <w:spacing w:line="320" w:lineRule="exact"/>
        <w:ind w:firstLine="420" w:firstLineChars="200"/>
        <w:textAlignment w:val="bottom"/>
        <w:rPr>
          <w:rFonts w:hint="eastAsia" w:ascii="宋体" w:hAnsi="宋体" w:cs="宋体"/>
          <w:color w:val="auto"/>
          <w:szCs w:val="21"/>
          <w:highlight w:val="none"/>
        </w:rPr>
      </w:pPr>
    </w:p>
    <w:p w14:paraId="7CC696AB">
      <w:pPr>
        <w:widowControl/>
        <w:shd w:val="clear" w:color="auto" w:fill="FFFFFF"/>
        <w:spacing w:line="320" w:lineRule="exact"/>
        <w:ind w:firstLine="3360" w:firstLineChars="1600"/>
        <w:rPr>
          <w:rFonts w:hint="eastAsia" w:ascii="宋体" w:hAnsi="宋体" w:cs="宋体"/>
          <w:color w:val="auto"/>
          <w:kern w:val="0"/>
          <w:szCs w:val="21"/>
          <w:highlight w:val="none"/>
        </w:rPr>
      </w:pPr>
      <w:r>
        <w:rPr>
          <w:rFonts w:hint="eastAsia" w:ascii="宋体" w:hAnsi="宋体" w:cs="宋体"/>
          <w:color w:val="auto"/>
          <w:kern w:val="0"/>
          <w:szCs w:val="21"/>
          <w:highlight w:val="none"/>
        </w:rPr>
        <w:t>投标人：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（盖公章）</w:t>
      </w:r>
    </w:p>
    <w:p w14:paraId="51AC2F2A">
      <w:pPr>
        <w:widowControl/>
        <w:shd w:val="clear" w:color="auto" w:fill="FFFFFF"/>
        <w:spacing w:line="320" w:lineRule="exact"/>
        <w:ind w:firstLine="3780"/>
        <w:rPr>
          <w:rFonts w:hint="eastAsia" w:ascii="宋体" w:hAnsi="宋体" w:cs="宋体"/>
          <w:color w:val="auto"/>
          <w:kern w:val="0"/>
          <w:szCs w:val="21"/>
          <w:highlight w:val="none"/>
        </w:rPr>
      </w:pPr>
    </w:p>
    <w:p w14:paraId="3634E90B">
      <w:pPr>
        <w:widowControl/>
        <w:shd w:val="clear" w:color="auto" w:fill="FFFFFF"/>
        <w:spacing w:line="320" w:lineRule="exact"/>
        <w:ind w:firstLine="3360" w:firstLineChars="1600"/>
        <w:rPr>
          <w:rFonts w:hint="eastAsia"/>
          <w:color w:val="auto"/>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（签字</w:t>
      </w:r>
      <w:r>
        <w:rPr>
          <w:rFonts w:hint="eastAsia" w:ascii="宋体" w:hAnsi="宋体" w:cs="宋体"/>
          <w:color w:val="auto"/>
          <w:kern w:val="0"/>
          <w:sz w:val="24"/>
          <w:highlight w:val="none"/>
        </w:rPr>
        <w:t>（章）</w:t>
      </w:r>
      <w:r>
        <w:rPr>
          <w:rFonts w:hint="eastAsia" w:ascii="宋体" w:hAnsi="宋体" w:cs="宋体"/>
          <w:color w:val="auto"/>
          <w:kern w:val="0"/>
          <w:szCs w:val="21"/>
          <w:highlight w:val="none"/>
        </w:rPr>
        <w:t>）</w:t>
      </w:r>
    </w:p>
    <w:p w14:paraId="68A83649">
      <w:pPr>
        <w:widowControl/>
        <w:shd w:val="clear" w:color="auto" w:fill="FFFFFF"/>
        <w:spacing w:line="320" w:lineRule="exact"/>
        <w:ind w:right="0" w:firstLine="3780"/>
        <w:rPr>
          <w:rFonts w:hint="eastAsia" w:ascii="宋体" w:hAnsi="宋体" w:cs="宋体"/>
          <w:color w:val="auto"/>
          <w:kern w:val="0"/>
          <w:szCs w:val="21"/>
          <w:highlight w:val="none"/>
        </w:rPr>
      </w:pPr>
    </w:p>
    <w:p w14:paraId="449982E7">
      <w:pPr>
        <w:spacing w:after="120"/>
        <w:rPr>
          <w:rFonts w:hint="eastAsia"/>
          <w:color w:val="auto"/>
          <w:highlight w:val="none"/>
        </w:r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w:t>
      </w:r>
    </w:p>
    <w:p w14:paraId="445E5982">
      <w:pPr>
        <w:spacing w:after="120"/>
        <w:jc w:val="right"/>
        <w:rPr>
          <w:rFonts w:hint="eastAsia" w:ascii="宋体" w:hAnsi="宋体" w:cs="宋体"/>
          <w:color w:val="auto"/>
          <w:szCs w:val="21"/>
          <w:highlight w:val="none"/>
        </w:rPr>
      </w:pPr>
      <w:r>
        <w:rPr>
          <w:rFonts w:hint="eastAsia" w:ascii="黑体" w:hAnsi="黑体" w:eastAsia="黑体" w:cs="黑体"/>
          <w:bCs/>
          <w:color w:val="auto"/>
          <w:sz w:val="30"/>
          <w:szCs w:val="30"/>
          <w:highlight w:val="none"/>
        </w:rPr>
        <w:br w:type="page"/>
      </w:r>
    </w:p>
    <w:p w14:paraId="4F0CB6B1">
      <w:pPr>
        <w:keepNext/>
        <w:keepLines/>
        <w:spacing w:before="156" w:beforeLines="50" w:line="400" w:lineRule="exact"/>
        <w:jc w:val="center"/>
        <w:outlineLvl w:val="1"/>
        <w:rPr>
          <w:rFonts w:ascii="Cambria" w:hAnsi="Cambria"/>
          <w:b/>
          <w:bCs/>
          <w:color w:val="auto"/>
          <w:sz w:val="32"/>
          <w:szCs w:val="32"/>
          <w:highlight w:val="none"/>
        </w:rPr>
      </w:pPr>
      <w:r>
        <w:rPr>
          <w:rFonts w:hint="eastAsia" w:ascii="Cambria" w:hAnsi="Cambria"/>
          <w:b/>
          <w:bCs/>
          <w:color w:val="auto"/>
          <w:sz w:val="32"/>
          <w:szCs w:val="32"/>
          <w:highlight w:val="none"/>
        </w:rPr>
        <w:t>第</w:t>
      </w:r>
      <w:r>
        <w:rPr>
          <w:rFonts w:hint="eastAsia" w:ascii="Cambria" w:hAnsi="Cambria" w:eastAsia="宋体"/>
          <w:b/>
          <w:bCs/>
          <w:color w:val="auto"/>
          <w:sz w:val="32"/>
          <w:szCs w:val="32"/>
          <w:highlight w:val="none"/>
          <w:lang w:val="en-US" w:eastAsia="zh-CN"/>
        </w:rPr>
        <w:t>二</w:t>
      </w:r>
      <w:r>
        <w:rPr>
          <w:rFonts w:hint="eastAsia" w:ascii="Cambria" w:hAnsi="Cambria"/>
          <w:b/>
          <w:bCs/>
          <w:color w:val="auto"/>
          <w:sz w:val="32"/>
          <w:szCs w:val="32"/>
          <w:highlight w:val="none"/>
        </w:rPr>
        <w:t xml:space="preserve">节 </w:t>
      </w:r>
      <w:r>
        <w:rPr>
          <w:rFonts w:hint="eastAsia" w:ascii="Cambria" w:hAnsi="Cambria"/>
          <w:b/>
          <w:bCs/>
          <w:color w:val="auto"/>
          <w:sz w:val="30"/>
          <w:szCs w:val="32"/>
          <w:highlight w:val="none"/>
        </w:rPr>
        <w:t>经济</w:t>
      </w:r>
      <w:r>
        <w:rPr>
          <w:rFonts w:hint="eastAsia" w:ascii="Cambria" w:hAnsi="Cambria"/>
          <w:b/>
          <w:bCs/>
          <w:color w:val="auto"/>
          <w:sz w:val="32"/>
          <w:szCs w:val="32"/>
          <w:highlight w:val="none"/>
        </w:rPr>
        <w:t>标</w:t>
      </w:r>
    </w:p>
    <w:p w14:paraId="05F3BD42">
      <w:pPr>
        <w:rPr>
          <w:color w:val="auto"/>
          <w:highlight w:val="none"/>
        </w:rPr>
      </w:pPr>
    </w:p>
    <w:p w14:paraId="6828EA8E">
      <w:pPr>
        <w:keepNext/>
        <w:keepLines/>
        <w:pageBreakBefore/>
        <w:rPr>
          <w:rFonts w:ascii="Tahoma" w:hAnsi="Tahoma"/>
          <w:color w:val="auto"/>
          <w:sz w:val="28"/>
          <w:szCs w:val="28"/>
          <w:highlight w:val="none"/>
        </w:rPr>
      </w:pPr>
    </w:p>
    <w:p w14:paraId="75ED14FB">
      <w:pPr>
        <w:rPr>
          <w:color w:val="auto"/>
          <w:highlight w:val="none"/>
        </w:rPr>
      </w:pPr>
    </w:p>
    <w:p w14:paraId="138A8FAB">
      <w:pPr>
        <w:rPr>
          <w:color w:val="auto"/>
          <w:highlight w:val="none"/>
        </w:rPr>
      </w:pPr>
    </w:p>
    <w:p w14:paraId="4C1CB2C4">
      <w:pPr>
        <w:jc w:val="center"/>
        <w:rPr>
          <w:rFonts w:ascii="仿宋_GB2312" w:eastAsia="仿宋_GB2312"/>
          <w:b/>
          <w:color w:val="auto"/>
          <w:sz w:val="28"/>
          <w:szCs w:val="28"/>
          <w:highlight w:val="none"/>
        </w:rPr>
      </w:pPr>
      <w:r>
        <w:rPr>
          <w:rFonts w:hint="eastAsia" w:ascii="仿宋_GB2312" w:eastAsia="仿宋_GB2312"/>
          <w:b/>
          <w:color w:val="auto"/>
          <w:sz w:val="44"/>
          <w:szCs w:val="44"/>
          <w:highlight w:val="none"/>
          <w:u w:val="single"/>
        </w:rPr>
        <w:t xml:space="preserve">    （标段名称）   </w:t>
      </w:r>
    </w:p>
    <w:p w14:paraId="1E710693">
      <w:pPr>
        <w:rPr>
          <w:color w:val="auto"/>
          <w:highlight w:val="none"/>
        </w:rPr>
      </w:pPr>
    </w:p>
    <w:p w14:paraId="38C3E161">
      <w:pPr>
        <w:rPr>
          <w:color w:val="auto"/>
          <w:highlight w:val="none"/>
        </w:rPr>
      </w:pPr>
    </w:p>
    <w:p w14:paraId="74E6FC47">
      <w:pPr>
        <w:jc w:val="center"/>
        <w:rPr>
          <w:rFonts w:ascii="仿宋_GB2312" w:eastAsia="仿宋_GB2312"/>
          <w:b/>
          <w:color w:val="auto"/>
          <w:sz w:val="84"/>
          <w:szCs w:val="84"/>
          <w:highlight w:val="none"/>
        </w:rPr>
      </w:pPr>
      <w:r>
        <w:rPr>
          <w:rFonts w:hint="eastAsia" w:ascii="仿宋_GB2312" w:eastAsia="仿宋_GB2312"/>
          <w:b/>
          <w:color w:val="auto"/>
          <w:sz w:val="84"/>
          <w:szCs w:val="84"/>
          <w:highlight w:val="none"/>
        </w:rPr>
        <w:t>经济标</w:t>
      </w:r>
    </w:p>
    <w:p w14:paraId="4D904967">
      <w:pPr>
        <w:rPr>
          <w:color w:val="auto"/>
          <w:highlight w:val="none"/>
        </w:rPr>
      </w:pPr>
    </w:p>
    <w:p w14:paraId="46652445">
      <w:pPr>
        <w:rPr>
          <w:color w:val="auto"/>
          <w:highlight w:val="none"/>
        </w:rPr>
      </w:pPr>
    </w:p>
    <w:p w14:paraId="04DE5589">
      <w:pPr>
        <w:rPr>
          <w:color w:val="auto"/>
          <w:highlight w:val="none"/>
        </w:rPr>
      </w:pPr>
    </w:p>
    <w:p w14:paraId="3258D331">
      <w:pPr>
        <w:ind w:firstLine="843" w:firstLineChars="300"/>
        <w:rPr>
          <w:rFonts w:ascii="仿宋_GB2312" w:eastAsia="仿宋_GB2312"/>
          <w:b/>
          <w:color w:val="auto"/>
          <w:sz w:val="28"/>
          <w:szCs w:val="28"/>
          <w:highlight w:val="none"/>
        </w:rPr>
      </w:pPr>
      <w:r>
        <w:rPr>
          <w:rFonts w:hint="eastAsia" w:ascii="仿宋_GB2312" w:eastAsia="仿宋_GB2312"/>
          <w:b/>
          <w:color w:val="auto"/>
          <w:sz w:val="28"/>
          <w:szCs w:val="28"/>
          <w:highlight w:val="none"/>
        </w:rPr>
        <w:t>投标人：</w:t>
      </w:r>
      <w:r>
        <w:rPr>
          <w:rFonts w:hint="eastAsia"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（盖公章）</w:t>
      </w:r>
    </w:p>
    <w:p w14:paraId="4768EAC2">
      <w:pPr>
        <w:rPr>
          <w:color w:val="auto"/>
          <w:highlight w:val="none"/>
        </w:rPr>
      </w:pPr>
    </w:p>
    <w:p w14:paraId="135D52C2">
      <w:pPr>
        <w:rPr>
          <w:color w:val="auto"/>
          <w:highlight w:val="none"/>
        </w:rPr>
      </w:pPr>
    </w:p>
    <w:p w14:paraId="3F0313ED">
      <w:pPr>
        <w:jc w:val="center"/>
        <w:rPr>
          <w:rFonts w:ascii="仿宋_GB2312" w:eastAsia="仿宋_GB2312"/>
          <w:b/>
          <w:color w:val="auto"/>
          <w:sz w:val="28"/>
          <w:szCs w:val="28"/>
          <w:highlight w:val="none"/>
        </w:rPr>
      </w:pPr>
      <w:r>
        <w:rPr>
          <w:rFonts w:hint="eastAsia" w:ascii="仿宋_GB2312" w:eastAsia="仿宋_GB2312"/>
          <w:b/>
          <w:color w:val="auto"/>
          <w:sz w:val="28"/>
          <w:szCs w:val="28"/>
          <w:highlight w:val="none"/>
        </w:rPr>
        <w:t>日  期：</w:t>
      </w:r>
      <w:r>
        <w:rPr>
          <w:rFonts w:hint="eastAsia"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年</w:t>
      </w:r>
      <w:r>
        <w:rPr>
          <w:rFonts w:hint="eastAsia"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月</w:t>
      </w:r>
      <w:r>
        <w:rPr>
          <w:rFonts w:hint="eastAsia" w:ascii="仿宋_GB2312" w:eastAsia="仿宋_GB2312"/>
          <w:b/>
          <w:color w:val="auto"/>
          <w:sz w:val="28"/>
          <w:szCs w:val="28"/>
          <w:highlight w:val="none"/>
          <w:u w:val="single"/>
        </w:rPr>
        <w:t xml:space="preserve">        </w:t>
      </w:r>
      <w:r>
        <w:rPr>
          <w:rFonts w:hint="eastAsia" w:ascii="仿宋_GB2312" w:eastAsia="仿宋_GB2312"/>
          <w:b/>
          <w:color w:val="auto"/>
          <w:sz w:val="28"/>
          <w:szCs w:val="28"/>
          <w:highlight w:val="none"/>
        </w:rPr>
        <w:t>日</w:t>
      </w:r>
    </w:p>
    <w:p w14:paraId="21D88BC9">
      <w:pPr>
        <w:rPr>
          <w:rFonts w:hint="eastAsia"/>
          <w:color w:val="auto"/>
          <w:highlight w:val="none"/>
        </w:rPr>
      </w:pPr>
    </w:p>
    <w:p w14:paraId="052838E1">
      <w:pPr>
        <w:rPr>
          <w:color w:val="auto"/>
          <w:highlight w:val="none"/>
        </w:rPr>
      </w:pPr>
    </w:p>
    <w:p w14:paraId="7A74A0CB">
      <w:pPr>
        <w:autoSpaceDE w:val="0"/>
        <w:autoSpaceDN w:val="0"/>
        <w:spacing w:line="440" w:lineRule="atLeast"/>
        <w:ind w:right="50"/>
        <w:jc w:val="left"/>
        <w:rPr>
          <w:rFonts w:ascii="仿宋_GB2312" w:hAnsi="宋体" w:eastAsia="仿宋_GB2312"/>
          <w:b/>
          <w:color w:val="auto"/>
          <w:sz w:val="32"/>
          <w:szCs w:val="32"/>
          <w:highlight w:val="none"/>
          <w:lang w:val="zh-CN"/>
        </w:rPr>
      </w:pPr>
      <w:r>
        <w:rPr>
          <w:rFonts w:hint="eastAsia" w:ascii="仿宋_GB2312" w:hAnsi="宋体" w:eastAsia="仿宋_GB2312"/>
          <w:b/>
          <w:color w:val="auto"/>
          <w:sz w:val="24"/>
          <w:highlight w:val="none"/>
          <w:lang w:val="zh-CN"/>
        </w:rPr>
        <w:t>【注：联合体投标人全称格式（下同）：</w:t>
      </w:r>
      <w:r>
        <w:rPr>
          <w:rFonts w:hint="eastAsia" w:ascii="仿宋_GB2312" w:hAnsi="宋体" w:eastAsia="仿宋_GB2312"/>
          <w:b/>
          <w:color w:val="auto"/>
          <w:sz w:val="24"/>
          <w:highlight w:val="none"/>
          <w:u w:val="single"/>
          <w:lang w:val="zh-CN"/>
        </w:rPr>
        <w:t>牵头人单位全称</w:t>
      </w:r>
      <w:r>
        <w:rPr>
          <w:rFonts w:hint="eastAsia" w:ascii="仿宋_GB2312" w:hAnsi="宋体" w:eastAsia="仿宋_GB2312"/>
          <w:b/>
          <w:color w:val="auto"/>
          <w:sz w:val="24"/>
          <w:highlight w:val="none"/>
          <w:lang w:val="zh-CN"/>
        </w:rPr>
        <w:t>与</w:t>
      </w:r>
      <w:r>
        <w:rPr>
          <w:rFonts w:hint="eastAsia" w:ascii="仿宋_GB2312" w:hAnsi="宋体" w:eastAsia="仿宋_GB2312"/>
          <w:b/>
          <w:color w:val="auto"/>
          <w:sz w:val="24"/>
          <w:highlight w:val="none"/>
          <w:u w:val="single"/>
          <w:lang w:val="zh-CN"/>
        </w:rPr>
        <w:t>成员单位全称</w:t>
      </w:r>
      <w:r>
        <w:rPr>
          <w:rFonts w:hint="eastAsia" w:ascii="仿宋_GB2312" w:hAnsi="宋体" w:eastAsia="仿宋_GB2312"/>
          <w:b/>
          <w:color w:val="auto"/>
          <w:sz w:val="24"/>
          <w:highlight w:val="none"/>
          <w:lang w:val="zh-CN"/>
        </w:rPr>
        <w:t>联合体】</w:t>
      </w:r>
    </w:p>
    <w:p w14:paraId="568EA9CC">
      <w:pPr>
        <w:widowControl/>
        <w:spacing w:after="320"/>
        <w:jc w:val="center"/>
        <w:rPr>
          <w:rFonts w:ascii="黑体" w:hAnsi="黑体" w:eastAsia="黑体" w:cs="黑体"/>
          <w:color w:val="auto"/>
          <w:kern w:val="0"/>
          <w:sz w:val="32"/>
          <w:szCs w:val="32"/>
          <w:highlight w:val="none"/>
        </w:rPr>
      </w:pPr>
      <w:r>
        <w:rPr>
          <w:rFonts w:ascii="Times New Roman" w:hAnsi="Times New Roman" w:eastAsia="Times New Roman"/>
          <w:color w:val="auto"/>
          <w:kern w:val="0"/>
          <w:sz w:val="24"/>
          <w:szCs w:val="24"/>
          <w:highlight w:val="none"/>
          <w:lang w:eastAsia="en-US"/>
        </w:rPr>
        <w:br w:type="page"/>
      </w:r>
      <w:r>
        <w:rPr>
          <w:rFonts w:ascii="黑体" w:hAnsi="黑体" w:eastAsia="黑体" w:cs="黑体"/>
          <w:color w:val="auto"/>
          <w:kern w:val="0"/>
          <w:sz w:val="32"/>
          <w:szCs w:val="32"/>
          <w:highlight w:val="none"/>
        </w:rPr>
        <w:t>目录</w:t>
      </w:r>
    </w:p>
    <w:p w14:paraId="5864A162">
      <w:pPr>
        <w:widowControl/>
        <w:spacing w:before="240" w:after="240"/>
        <w:jc w:val="left"/>
        <w:rPr>
          <w:rFonts w:ascii="黑体" w:hAnsi="黑体" w:eastAsia="黑体" w:cs="黑体"/>
          <w:color w:val="auto"/>
          <w:kern w:val="0"/>
          <w:sz w:val="24"/>
          <w:szCs w:val="24"/>
          <w:highlight w:val="none"/>
        </w:rPr>
      </w:pPr>
      <w:r>
        <w:rPr>
          <w:rFonts w:ascii="黑体" w:hAnsi="黑体" w:eastAsia="黑体" w:cs="黑体"/>
          <w:color w:val="auto"/>
          <w:kern w:val="0"/>
          <w:sz w:val="24"/>
          <w:szCs w:val="24"/>
          <w:highlight w:val="none"/>
        </w:rPr>
        <w:t>一、投标函及投标函附录</w:t>
      </w:r>
    </w:p>
    <w:p w14:paraId="01736ADF">
      <w:pPr>
        <w:widowControl/>
        <w:spacing w:before="240" w:after="240"/>
        <w:jc w:val="left"/>
        <w:rPr>
          <w:rFonts w:ascii="黑体" w:hAnsi="黑体" w:eastAsia="黑体" w:cs="黑体"/>
          <w:color w:val="auto"/>
          <w:kern w:val="0"/>
          <w:sz w:val="24"/>
          <w:szCs w:val="24"/>
          <w:highlight w:val="none"/>
        </w:rPr>
      </w:pPr>
      <w:r>
        <w:rPr>
          <w:rFonts w:ascii="黑体" w:hAnsi="黑体" w:eastAsia="黑体" w:cs="黑体"/>
          <w:color w:val="auto"/>
          <w:kern w:val="0"/>
          <w:sz w:val="24"/>
          <w:szCs w:val="24"/>
          <w:highlight w:val="none"/>
        </w:rPr>
        <w:t>二、投标保证金</w:t>
      </w:r>
    </w:p>
    <w:p w14:paraId="054237B0">
      <w:pPr>
        <w:widowControl/>
        <w:spacing w:before="240" w:after="240"/>
        <w:jc w:val="left"/>
        <w:rPr>
          <w:rFonts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lang w:val="en-US" w:eastAsia="zh-CN"/>
        </w:rPr>
        <w:t>三</w:t>
      </w:r>
      <w:r>
        <w:rPr>
          <w:rFonts w:ascii="黑体" w:hAnsi="黑体" w:eastAsia="黑体" w:cs="黑体"/>
          <w:color w:val="auto"/>
          <w:kern w:val="0"/>
          <w:sz w:val="24"/>
          <w:szCs w:val="24"/>
          <w:highlight w:val="none"/>
        </w:rPr>
        <w:t>、经济标其他材料</w:t>
      </w:r>
    </w:p>
    <w:p w14:paraId="37022A7E">
      <w:pPr>
        <w:tabs>
          <w:tab w:val="left" w:pos="2520"/>
        </w:tabs>
        <w:spacing w:line="540" w:lineRule="exact"/>
        <w:outlineLvl w:val="2"/>
        <w:rPr>
          <w:color w:val="auto"/>
          <w:sz w:val="28"/>
          <w:szCs w:val="28"/>
          <w:highlight w:val="none"/>
        </w:rPr>
      </w:pPr>
      <w:r>
        <w:rPr>
          <w:rFonts w:hint="eastAsia"/>
          <w:b/>
          <w:bCs/>
          <w:color w:val="auto"/>
          <w:sz w:val="28"/>
          <w:szCs w:val="28"/>
          <w:highlight w:val="none"/>
        </w:rPr>
        <w:br w:type="page"/>
      </w:r>
      <w:bookmarkStart w:id="102" w:name="_Toc354672431"/>
      <w:bookmarkStart w:id="103" w:name="_Toc437961122"/>
      <w:bookmarkStart w:id="104" w:name="_Toc280259817"/>
      <w:bookmarkStart w:id="105" w:name="_Toc306284266"/>
      <w:bookmarkStart w:id="106" w:name="_Toc152042577"/>
      <w:bookmarkStart w:id="107" w:name="_Toc144974857"/>
      <w:bookmarkStart w:id="108" w:name="_Toc152045788"/>
      <w:r>
        <w:rPr>
          <w:rFonts w:hint="eastAsia"/>
          <w:b/>
          <w:bCs/>
          <w:color w:val="auto"/>
          <w:sz w:val="28"/>
          <w:szCs w:val="28"/>
          <w:highlight w:val="none"/>
        </w:rPr>
        <w:t>一</w:t>
      </w:r>
      <w:r>
        <w:rPr>
          <w:b/>
          <w:bCs/>
          <w:color w:val="auto"/>
          <w:sz w:val="28"/>
          <w:szCs w:val="28"/>
          <w:highlight w:val="none"/>
        </w:rPr>
        <w:t>、投标函及投标函附录</w:t>
      </w:r>
      <w:bookmarkEnd w:id="102"/>
      <w:bookmarkEnd w:id="103"/>
      <w:bookmarkEnd w:id="104"/>
      <w:bookmarkEnd w:id="105"/>
      <w:bookmarkEnd w:id="106"/>
      <w:bookmarkEnd w:id="107"/>
      <w:bookmarkEnd w:id="108"/>
    </w:p>
    <w:p w14:paraId="326E4A42">
      <w:pPr>
        <w:jc w:val="center"/>
        <w:rPr>
          <w:rFonts w:ascii="黑体" w:hAnsi="黑体" w:eastAsia="黑体"/>
          <w:b/>
          <w:color w:val="auto"/>
          <w:sz w:val="28"/>
          <w:szCs w:val="21"/>
          <w:highlight w:val="none"/>
        </w:rPr>
      </w:pPr>
      <w:bookmarkStart w:id="109" w:name="_Toc152042578"/>
      <w:bookmarkStart w:id="110" w:name="_Toc144974858"/>
      <w:bookmarkStart w:id="111" w:name="_Toc437612637"/>
      <w:bookmarkStart w:id="112" w:name="_Toc354672432"/>
      <w:bookmarkStart w:id="113" w:name="_Toc152045789"/>
      <w:bookmarkStart w:id="114" w:name="_Toc306284267"/>
      <w:bookmarkStart w:id="115" w:name="_Toc430525932"/>
      <w:bookmarkStart w:id="116" w:name="_Toc280259818"/>
      <w:r>
        <w:rPr>
          <w:rFonts w:ascii="黑体" w:hAnsi="黑体" w:eastAsia="黑体"/>
          <w:b/>
          <w:color w:val="auto"/>
          <w:sz w:val="28"/>
          <w:szCs w:val="21"/>
          <w:highlight w:val="none"/>
        </w:rPr>
        <w:t>（一）投标函</w:t>
      </w:r>
      <w:bookmarkEnd w:id="109"/>
      <w:bookmarkEnd w:id="110"/>
      <w:bookmarkEnd w:id="111"/>
      <w:bookmarkEnd w:id="112"/>
      <w:bookmarkEnd w:id="113"/>
      <w:bookmarkEnd w:id="114"/>
      <w:bookmarkEnd w:id="115"/>
      <w:bookmarkEnd w:id="116"/>
    </w:p>
    <w:p w14:paraId="659E6EE3">
      <w:pPr>
        <w:spacing w:line="440" w:lineRule="exact"/>
        <w:rPr>
          <w:color w:val="auto"/>
          <w:sz w:val="20"/>
          <w:highlight w:val="none"/>
        </w:rPr>
      </w:pPr>
    </w:p>
    <w:p w14:paraId="3C9C5970">
      <w:pPr>
        <w:spacing w:line="4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（招标人名称）：</w:t>
      </w:r>
    </w:p>
    <w:p w14:paraId="1DD1CAB6">
      <w:pPr>
        <w:spacing w:line="440" w:lineRule="exact"/>
        <w:rPr>
          <w:rFonts w:hint="eastAsia" w:ascii="宋体" w:hAnsi="宋体" w:cs="宋体"/>
          <w:color w:val="auto"/>
          <w:sz w:val="24"/>
          <w:highlight w:val="none"/>
        </w:rPr>
      </w:pPr>
      <w:r>
        <w:rPr>
          <w:rFonts w:hint="eastAsia" w:ascii="宋体" w:hAnsi="宋体" w:cs="宋体"/>
          <w:color w:val="auto"/>
          <w:sz w:val="24"/>
          <w:highlight w:val="none"/>
        </w:rPr>
        <w:t xml:space="preserve">    1.我方已仔细研究了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（项目名称）招标文件的全部内容，愿意以人民币（大写）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（小写）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元的投标总报价</w:t>
      </w:r>
      <w:r>
        <w:rPr>
          <w:rFonts w:hint="eastAsia" w:ascii="宋体" w:hAnsi="宋体" w:cs="宋体"/>
          <w:color w:val="auto"/>
          <w:sz w:val="24"/>
          <w:highlight w:val="none"/>
          <w:lang w:val="en-US" w:eastAsia="zh-CN"/>
        </w:rPr>
        <w:t>进行报价</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监测</w:t>
      </w:r>
      <w:r>
        <w:rPr>
          <w:rFonts w:hint="eastAsia" w:ascii="宋体" w:hAnsi="宋体" w:cs="宋体"/>
          <w:color w:val="auto"/>
          <w:sz w:val="24"/>
          <w:highlight w:val="none"/>
        </w:rPr>
        <w:t>服务期：</w:t>
      </w:r>
      <w:r>
        <w:rPr>
          <w:rFonts w:hint="eastAsia" w:ascii="宋体" w:hAnsi="宋体" w:cs="宋体"/>
          <w:color w:val="auto"/>
          <w:sz w:val="24"/>
          <w:highlight w:val="none"/>
          <w:lang w:val="en-US" w:eastAsia="zh-CN"/>
        </w:rPr>
        <w:t>合同签订后，</w:t>
      </w:r>
      <w:r>
        <w:rPr>
          <w:rFonts w:hint="eastAsia" w:ascii="宋体" w:hAnsi="宋体" w:cs="宋体"/>
          <w:color w:val="auto"/>
          <w:sz w:val="24"/>
          <w:highlight w:val="none"/>
          <w:lang w:eastAsia="zh-CN"/>
        </w:rPr>
        <w:t>项目开工至竣工验收</w:t>
      </w:r>
      <w:r>
        <w:rPr>
          <w:rFonts w:hint="eastAsia" w:ascii="宋体" w:hAnsi="宋体" w:cs="宋体"/>
          <w:color w:val="auto"/>
          <w:sz w:val="24"/>
          <w:highlight w:val="none"/>
          <w:lang w:val="en-US" w:eastAsia="zh-CN"/>
        </w:rPr>
        <w:t>且</w:t>
      </w:r>
      <w:r>
        <w:rPr>
          <w:rFonts w:hint="eastAsia" w:ascii="宋体" w:hAnsi="宋体" w:cs="宋体"/>
          <w:color w:val="auto"/>
          <w:sz w:val="24"/>
          <w:highlight w:val="none"/>
          <w:lang w:eastAsia="zh-CN"/>
        </w:rPr>
        <w:t>监测资料归档备案</w:t>
      </w:r>
      <w:r>
        <w:rPr>
          <w:rFonts w:hint="eastAsia" w:ascii="宋体" w:hAnsi="宋体" w:cs="宋体"/>
          <w:color w:val="auto"/>
          <w:sz w:val="24"/>
          <w:highlight w:val="none"/>
          <w:lang w:val="en-US" w:eastAsia="zh-CN"/>
        </w:rPr>
        <w:t>为止</w:t>
      </w:r>
      <w:r>
        <w:rPr>
          <w:rFonts w:hint="eastAsia" w:ascii="宋体" w:hAnsi="宋体" w:cs="宋体"/>
          <w:color w:val="auto"/>
          <w:sz w:val="24"/>
          <w:highlight w:val="none"/>
        </w:rPr>
        <w:t>。按合同约定及招标文件等有关规定完成</w:t>
      </w:r>
      <w:r>
        <w:rPr>
          <w:rFonts w:hint="eastAsia" w:ascii="宋体" w:hAnsi="宋体" w:cs="宋体"/>
          <w:color w:val="auto"/>
          <w:sz w:val="24"/>
          <w:highlight w:val="none"/>
          <w:lang w:val="en-US" w:eastAsia="zh-CN"/>
        </w:rPr>
        <w:t>监测</w:t>
      </w:r>
      <w:r>
        <w:rPr>
          <w:rFonts w:hint="eastAsia" w:ascii="宋体" w:hAnsi="宋体" w:cs="宋体"/>
          <w:color w:val="auto"/>
          <w:sz w:val="24"/>
          <w:highlight w:val="none"/>
        </w:rPr>
        <w:t>服务工作，保证</w:t>
      </w:r>
      <w:r>
        <w:rPr>
          <w:rFonts w:hint="eastAsia" w:ascii="宋体" w:hAnsi="宋体" w:cs="宋体"/>
          <w:color w:val="auto"/>
          <w:sz w:val="24"/>
          <w:highlight w:val="none"/>
          <w:lang w:val="en-US" w:eastAsia="zh-CN"/>
        </w:rPr>
        <w:t>监测</w:t>
      </w:r>
      <w:r>
        <w:rPr>
          <w:rFonts w:hint="eastAsia" w:ascii="宋体" w:hAnsi="宋体" w:cs="宋体"/>
          <w:color w:val="auto"/>
          <w:sz w:val="24"/>
          <w:highlight w:val="none"/>
        </w:rPr>
        <w:t>服务质量和技术标准符合招标文件要求。我方完全理解并接受招标文件中所规定的</w:t>
      </w:r>
      <w:r>
        <w:rPr>
          <w:rFonts w:hint="eastAsia" w:ascii="宋体" w:hAnsi="宋体" w:cs="宋体"/>
          <w:color w:val="auto"/>
          <w:sz w:val="24"/>
          <w:highlight w:val="none"/>
          <w:lang w:val="en-US" w:eastAsia="zh-CN"/>
        </w:rPr>
        <w:t>监测</w:t>
      </w:r>
      <w:r>
        <w:rPr>
          <w:rFonts w:hint="eastAsia" w:ascii="宋体" w:hAnsi="宋体" w:cs="宋体"/>
          <w:color w:val="auto"/>
          <w:sz w:val="24"/>
          <w:highlight w:val="none"/>
        </w:rPr>
        <w:t>服务酬金的确定和支付办法。</w:t>
      </w:r>
    </w:p>
    <w:p w14:paraId="4BA3FA42">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2.我方承诺在投标有效期（投标文件截止之日起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天）内不修改、撤销投标文件。</w:t>
      </w:r>
    </w:p>
    <w:p w14:paraId="22E7FBDC">
      <w:pPr>
        <w:spacing w:line="440" w:lineRule="exact"/>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3.随同本投标函提交投标保证金一份，金额为人民币（大写）</w:t>
      </w:r>
      <w:r>
        <w:rPr>
          <w:rFonts w:hint="eastAsia" w:ascii="宋体" w:hAnsi="宋体" w:cs="宋体"/>
          <w:color w:val="auto"/>
          <w:sz w:val="24"/>
          <w:highlight w:val="none"/>
          <w:u w:val="single"/>
        </w:rPr>
        <w:t xml:space="preserve">                  </w:t>
      </w:r>
    </w:p>
    <w:p w14:paraId="7E10E41B">
      <w:pPr>
        <w:spacing w:line="440" w:lineRule="exact"/>
        <w:rPr>
          <w:rFonts w:hint="eastAsia" w:ascii="宋体" w:hAnsi="宋体" w:cs="宋体"/>
          <w:color w:val="auto"/>
          <w:sz w:val="24"/>
          <w:highlight w:val="none"/>
        </w:rPr>
      </w:pPr>
      <w:r>
        <w:rPr>
          <w:rFonts w:hint="eastAsia" w:ascii="宋体" w:hAnsi="宋体" w:cs="宋体"/>
          <w:color w:val="auto"/>
          <w:sz w:val="24"/>
          <w:highlight w:val="none"/>
        </w:rPr>
        <w:t>（小写：￥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w:t>
      </w:r>
    </w:p>
    <w:p w14:paraId="0F8A807C">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4.如我方中标，我方承诺：</w:t>
      </w:r>
    </w:p>
    <w:p w14:paraId="7F9AD9FB">
      <w:pPr>
        <w:spacing w:line="440" w:lineRule="exact"/>
        <w:ind w:firstLine="820" w:firstLineChars="342"/>
        <w:rPr>
          <w:rFonts w:hint="eastAsia" w:ascii="宋体" w:hAnsi="宋体" w:cs="宋体"/>
          <w:color w:val="auto"/>
          <w:sz w:val="24"/>
          <w:highlight w:val="none"/>
        </w:rPr>
      </w:pPr>
      <w:r>
        <w:rPr>
          <w:rFonts w:hint="eastAsia" w:ascii="宋体" w:hAnsi="宋体" w:cs="宋体"/>
          <w:color w:val="auto"/>
          <w:sz w:val="24"/>
          <w:highlight w:val="none"/>
        </w:rPr>
        <w:t>（1）随同本投标函递交的投标函附录属于合同文件的组成部分；</w:t>
      </w:r>
    </w:p>
    <w:p w14:paraId="7D8E9CC9">
      <w:pPr>
        <w:spacing w:line="440" w:lineRule="exact"/>
        <w:ind w:firstLine="820" w:firstLineChars="342"/>
        <w:rPr>
          <w:rFonts w:hint="eastAsia" w:ascii="宋体" w:hAnsi="宋体" w:cs="宋体"/>
          <w:color w:val="auto"/>
          <w:sz w:val="24"/>
          <w:highlight w:val="none"/>
        </w:rPr>
      </w:pPr>
      <w:r>
        <w:rPr>
          <w:rFonts w:hint="eastAsia" w:ascii="宋体" w:hAnsi="宋体" w:cs="宋体"/>
          <w:color w:val="auto"/>
          <w:sz w:val="24"/>
          <w:highlight w:val="none"/>
        </w:rPr>
        <w:t>（2）在收到中标通知书后，在中标通知书规定的期限内与你方签订合同；</w:t>
      </w:r>
    </w:p>
    <w:p w14:paraId="4E206422">
      <w:pPr>
        <w:spacing w:line="440" w:lineRule="exact"/>
        <w:ind w:firstLine="820" w:firstLineChars="342"/>
        <w:rPr>
          <w:rFonts w:hint="eastAsia" w:ascii="宋体" w:hAnsi="宋体" w:cs="宋体"/>
          <w:color w:val="auto"/>
          <w:sz w:val="24"/>
          <w:highlight w:val="none"/>
        </w:rPr>
      </w:pPr>
      <w:r>
        <w:rPr>
          <w:rFonts w:hint="eastAsia" w:ascii="宋体" w:hAnsi="宋体" w:cs="宋体"/>
          <w:color w:val="auto"/>
          <w:sz w:val="24"/>
          <w:highlight w:val="none"/>
        </w:rPr>
        <w:t>（3）在签订合同时不向你方提出附加条件；</w:t>
      </w:r>
    </w:p>
    <w:p w14:paraId="315ABD63">
      <w:pPr>
        <w:spacing w:line="400" w:lineRule="exact"/>
        <w:ind w:firstLine="820" w:firstLineChars="342"/>
        <w:rPr>
          <w:rFonts w:hint="eastAsia" w:ascii="宋体" w:hAnsi="宋体" w:cs="宋体"/>
          <w:color w:val="auto"/>
          <w:sz w:val="24"/>
          <w:highlight w:val="none"/>
        </w:rPr>
      </w:pPr>
      <w:r>
        <w:rPr>
          <w:rFonts w:hint="eastAsia" w:ascii="宋体" w:hAnsi="宋体" w:cs="宋体"/>
          <w:color w:val="auto"/>
          <w:sz w:val="24"/>
          <w:highlight w:val="none"/>
        </w:rPr>
        <w:t>（4）在签订合同时不更改合同实质性内容；</w:t>
      </w:r>
    </w:p>
    <w:p w14:paraId="3AFE7292">
      <w:pPr>
        <w:spacing w:line="400" w:lineRule="exact"/>
        <w:ind w:firstLine="820" w:firstLineChars="342"/>
        <w:rPr>
          <w:rFonts w:hint="eastAsia" w:ascii="宋体" w:hAnsi="宋体" w:cs="宋体"/>
          <w:color w:val="auto"/>
          <w:sz w:val="24"/>
          <w:highlight w:val="none"/>
        </w:rPr>
      </w:pPr>
      <w:r>
        <w:rPr>
          <w:rFonts w:hint="eastAsia" w:ascii="宋体" w:hAnsi="宋体" w:cs="宋体"/>
          <w:color w:val="auto"/>
          <w:sz w:val="24"/>
          <w:highlight w:val="none"/>
        </w:rPr>
        <w:t>（5）按照招标文件要求提交履约保证金；</w:t>
      </w:r>
    </w:p>
    <w:p w14:paraId="685DAACB">
      <w:pPr>
        <w:spacing w:line="400" w:lineRule="exact"/>
        <w:ind w:firstLine="820" w:firstLineChars="342"/>
        <w:rPr>
          <w:rFonts w:hint="eastAsia" w:ascii="宋体" w:hAnsi="宋体" w:cs="宋体"/>
          <w:color w:val="auto"/>
          <w:sz w:val="24"/>
          <w:highlight w:val="none"/>
        </w:rPr>
      </w:pPr>
      <w:r>
        <w:rPr>
          <w:rFonts w:hint="eastAsia" w:ascii="宋体" w:hAnsi="宋体" w:cs="宋体"/>
          <w:color w:val="auto"/>
          <w:sz w:val="24"/>
          <w:highlight w:val="none"/>
        </w:rPr>
        <w:t>（6）在合同约定的期限内完成合同规定的全部义务。</w:t>
      </w:r>
    </w:p>
    <w:p w14:paraId="24E8A318">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5.我方在此声明，所递交的投标文件及有关资料内容完整、真实和准确，且不存在第三章“投标人须知正文”第1.4.3款规定的任何一种情形。</w:t>
      </w:r>
    </w:p>
    <w:p w14:paraId="360FD65E">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6.我方完全响应第五章“合同条款及格式”规定的权利义务、第七章“规范和技术要求”规定的技术标准和要求。</w:t>
      </w:r>
    </w:p>
    <w:p w14:paraId="08864E40">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（其他补充说明）。</w:t>
      </w:r>
    </w:p>
    <w:p w14:paraId="134E6FD7">
      <w:pPr>
        <w:spacing w:line="400" w:lineRule="exact"/>
        <w:rPr>
          <w:rFonts w:hint="eastAsia" w:ascii="宋体" w:hAnsi="宋体" w:cs="宋体"/>
          <w:color w:val="auto"/>
          <w:sz w:val="24"/>
          <w:highlight w:val="none"/>
        </w:rPr>
      </w:pPr>
    </w:p>
    <w:p w14:paraId="4B976E6F">
      <w:pPr>
        <w:widowControl/>
        <w:shd w:val="clear" w:color="auto" w:fill="FFFFFF"/>
        <w:spacing w:line="400" w:lineRule="exact"/>
        <w:ind w:firstLine="2880" w:firstLineChars="1200"/>
        <w:rPr>
          <w:rFonts w:hint="eastAsia" w:ascii="宋体" w:hAnsi="宋体" w:cs="宋体"/>
          <w:color w:val="auto"/>
          <w:kern w:val="0"/>
          <w:sz w:val="24"/>
          <w:highlight w:val="none"/>
        </w:rPr>
      </w:pPr>
      <w:r>
        <w:rPr>
          <w:rFonts w:hint="eastAsia" w:ascii="宋体" w:hAnsi="宋体" w:cs="宋体"/>
          <w:color w:val="auto"/>
          <w:kern w:val="0"/>
          <w:sz w:val="24"/>
          <w:highlight w:val="none"/>
        </w:rPr>
        <w:t>投标人：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（盖公章）</w:t>
      </w:r>
    </w:p>
    <w:p w14:paraId="7A1D118C">
      <w:pPr>
        <w:widowControl/>
        <w:shd w:val="clear" w:color="auto" w:fill="FFFFFF"/>
        <w:spacing w:line="400" w:lineRule="exact"/>
        <w:ind w:firstLine="3780"/>
        <w:rPr>
          <w:rFonts w:hint="eastAsia" w:ascii="宋体" w:hAnsi="宋体" w:cs="宋体"/>
          <w:color w:val="auto"/>
          <w:kern w:val="0"/>
          <w:sz w:val="24"/>
          <w:highlight w:val="none"/>
        </w:rPr>
      </w:pPr>
    </w:p>
    <w:p w14:paraId="103D8B19">
      <w:pPr>
        <w:widowControl/>
        <w:shd w:val="clear" w:color="auto" w:fill="FFFFFF"/>
        <w:spacing w:line="400" w:lineRule="exact"/>
        <w:ind w:right="0" w:firstLine="0"/>
        <w:jc w:val="right"/>
        <w:rPr>
          <w:rFonts w:hint="eastAsia" w:ascii="宋体" w:hAnsi="宋体" w:cs="宋体"/>
          <w:color w:val="auto"/>
          <w:kern w:val="0"/>
          <w:sz w:val="24"/>
          <w:highlight w:val="non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（签字（章））</w:t>
      </w:r>
    </w:p>
    <w:p w14:paraId="610ADB90">
      <w:pPr>
        <w:widowControl/>
        <w:shd w:val="clear" w:color="auto" w:fill="FFFFFF"/>
        <w:spacing w:line="400" w:lineRule="exact"/>
        <w:ind w:right="0" w:firstLine="3780"/>
        <w:rPr>
          <w:rFonts w:hint="eastAsia" w:ascii="宋体" w:hAnsi="宋体" w:cs="宋体"/>
          <w:color w:val="auto"/>
          <w:kern w:val="0"/>
          <w:sz w:val="24"/>
          <w:highlight w:val="none"/>
        </w:rPr>
      </w:pPr>
    </w:p>
    <w:p w14:paraId="0A540751">
      <w:pPr>
        <w:shd w:val="clear" w:color="auto" w:fill="FFFFFF"/>
        <w:spacing w:line="400" w:lineRule="exact"/>
        <w:ind w:right="480"/>
        <w:jc w:val="right"/>
        <w:rPr>
          <w:rFonts w:hint="eastAsia" w:ascii="黑体" w:hAnsi="黑体" w:eastAsia="黑体"/>
          <w:b/>
          <w:color w:val="auto"/>
          <w:sz w:val="28"/>
          <w:szCs w:val="28"/>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bookmarkStart w:id="117" w:name="_Toc152042579"/>
      <w:bookmarkStart w:id="118" w:name="_Toc144974859"/>
      <w:bookmarkStart w:id="119" w:name="_Toc306284268"/>
      <w:bookmarkStart w:id="120" w:name="_Toc430525933"/>
      <w:bookmarkStart w:id="121" w:name="_Toc152045790"/>
      <w:bookmarkStart w:id="122" w:name="_Toc354672433"/>
      <w:bookmarkStart w:id="123" w:name="_Toc437612638"/>
      <w:bookmarkStart w:id="124" w:name="_Toc280259819"/>
    </w:p>
    <w:p w14:paraId="2121BF59">
      <w:pPr>
        <w:jc w:val="center"/>
        <w:rPr>
          <w:rFonts w:hint="eastAsia" w:ascii="黑体" w:hAnsi="黑体" w:eastAsia="黑体"/>
          <w:b/>
          <w:color w:val="auto"/>
          <w:sz w:val="28"/>
          <w:szCs w:val="28"/>
          <w:highlight w:val="none"/>
        </w:rPr>
      </w:pPr>
    </w:p>
    <w:p w14:paraId="00193A37">
      <w:pPr>
        <w:jc w:val="center"/>
        <w:rPr>
          <w:rFonts w:hint="eastAsia" w:ascii="黑体" w:hAnsi="黑体" w:eastAsia="黑体"/>
          <w:b/>
          <w:color w:val="auto"/>
          <w:sz w:val="28"/>
          <w:szCs w:val="28"/>
          <w:highlight w:val="none"/>
        </w:rPr>
      </w:pPr>
    </w:p>
    <w:p w14:paraId="156A7D9E">
      <w:pPr>
        <w:jc w:val="center"/>
        <w:rPr>
          <w:rFonts w:hint="eastAsia" w:ascii="黑体" w:hAnsi="黑体" w:eastAsia="黑体"/>
          <w:b/>
          <w:color w:val="auto"/>
          <w:sz w:val="28"/>
          <w:szCs w:val="28"/>
          <w:highlight w:val="none"/>
        </w:rPr>
      </w:pPr>
      <w:r>
        <w:rPr>
          <w:rFonts w:hint="eastAsia" w:ascii="黑体" w:hAnsi="黑体" w:eastAsia="黑体"/>
          <w:b/>
          <w:color w:val="auto"/>
          <w:sz w:val="28"/>
          <w:szCs w:val="28"/>
          <w:highlight w:val="none"/>
        </w:rPr>
        <w:t>（二）投标函附录</w:t>
      </w:r>
      <w:bookmarkEnd w:id="117"/>
      <w:bookmarkEnd w:id="118"/>
      <w:bookmarkEnd w:id="119"/>
      <w:bookmarkEnd w:id="120"/>
      <w:bookmarkEnd w:id="121"/>
      <w:bookmarkEnd w:id="122"/>
      <w:bookmarkEnd w:id="123"/>
      <w:bookmarkEnd w:id="124"/>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33"/>
        <w:gridCol w:w="2235"/>
        <w:gridCol w:w="4203"/>
        <w:gridCol w:w="791"/>
      </w:tblGrid>
      <w:tr w14:paraId="73A273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3" w:hRule="atLeast"/>
          <w:jc w:val="center"/>
        </w:trPr>
        <w:tc>
          <w:tcPr>
            <w:tcW w:w="533" w:type="dxa"/>
            <w:tcBorders>
              <w:top w:val="single" w:color="auto" w:sz="12" w:space="0"/>
              <w:left w:val="single" w:color="auto" w:sz="12" w:space="0"/>
              <w:bottom w:val="single" w:color="auto" w:sz="6" w:space="0"/>
              <w:right w:val="single" w:color="auto" w:sz="6" w:space="0"/>
            </w:tcBorders>
            <w:noWrap w:val="0"/>
            <w:vAlign w:val="center"/>
          </w:tcPr>
          <w:p w14:paraId="341C27AE">
            <w:pPr>
              <w:widowControl w:val="0"/>
              <w:spacing w:line="360" w:lineRule="exact"/>
              <w:jc w:val="center"/>
              <w:rPr>
                <w:rFonts w:ascii="Calibri" w:hAnsi="宋体" w:eastAsia="宋体" w:cs="宋体"/>
                <w:b/>
                <w:color w:val="auto"/>
                <w:kern w:val="2"/>
                <w:sz w:val="24"/>
                <w:szCs w:val="22"/>
                <w:highlight w:val="none"/>
                <w:lang w:val="en-US" w:eastAsia="zh-CN" w:bidi="ar-SA"/>
              </w:rPr>
            </w:pPr>
            <w:r>
              <w:rPr>
                <w:rFonts w:hint="eastAsia" w:ascii="Calibri" w:hAnsi="宋体" w:eastAsia="宋体" w:cs="宋体"/>
                <w:b/>
                <w:color w:val="auto"/>
                <w:kern w:val="2"/>
                <w:sz w:val="24"/>
                <w:szCs w:val="22"/>
                <w:highlight w:val="none"/>
                <w:lang w:val="en-US" w:eastAsia="zh-CN" w:bidi="ar-SA"/>
              </w:rPr>
              <w:t>序号</w:t>
            </w:r>
          </w:p>
        </w:tc>
        <w:tc>
          <w:tcPr>
            <w:tcW w:w="2235" w:type="dxa"/>
            <w:tcBorders>
              <w:top w:val="single" w:color="auto" w:sz="12" w:space="0"/>
              <w:left w:val="single" w:color="auto" w:sz="6" w:space="0"/>
              <w:bottom w:val="single" w:color="auto" w:sz="6" w:space="0"/>
              <w:right w:val="single" w:color="auto" w:sz="6" w:space="0"/>
            </w:tcBorders>
            <w:noWrap w:val="0"/>
            <w:vAlign w:val="center"/>
          </w:tcPr>
          <w:p w14:paraId="1CA05756">
            <w:pPr>
              <w:widowControl w:val="0"/>
              <w:spacing w:line="360" w:lineRule="exact"/>
              <w:jc w:val="center"/>
              <w:rPr>
                <w:rFonts w:ascii="Calibri" w:hAnsi="宋体" w:eastAsia="宋体" w:cs="宋体"/>
                <w:b/>
                <w:color w:val="auto"/>
                <w:kern w:val="2"/>
                <w:sz w:val="24"/>
                <w:szCs w:val="22"/>
                <w:highlight w:val="none"/>
                <w:lang w:val="en-US" w:eastAsia="zh-CN" w:bidi="ar-SA"/>
              </w:rPr>
            </w:pPr>
            <w:r>
              <w:rPr>
                <w:rFonts w:hint="eastAsia" w:ascii="Calibri" w:hAnsi="宋体" w:eastAsia="宋体" w:cs="宋体"/>
                <w:b/>
                <w:color w:val="auto"/>
                <w:kern w:val="2"/>
                <w:sz w:val="24"/>
                <w:szCs w:val="22"/>
                <w:highlight w:val="none"/>
                <w:lang w:val="en-US" w:eastAsia="zh-CN" w:bidi="ar-SA"/>
              </w:rPr>
              <w:t>条款内容</w:t>
            </w:r>
          </w:p>
        </w:tc>
        <w:tc>
          <w:tcPr>
            <w:tcW w:w="4203" w:type="dxa"/>
            <w:tcBorders>
              <w:top w:val="single" w:color="auto" w:sz="12" w:space="0"/>
              <w:left w:val="single" w:color="auto" w:sz="6" w:space="0"/>
              <w:bottom w:val="single" w:color="auto" w:sz="6" w:space="0"/>
              <w:right w:val="single" w:color="auto" w:sz="4" w:space="0"/>
            </w:tcBorders>
            <w:noWrap w:val="0"/>
            <w:vAlign w:val="center"/>
          </w:tcPr>
          <w:p w14:paraId="558D58FD">
            <w:pPr>
              <w:widowControl w:val="0"/>
              <w:spacing w:line="360" w:lineRule="exact"/>
              <w:jc w:val="center"/>
              <w:rPr>
                <w:rFonts w:ascii="Calibri" w:hAnsi="宋体" w:eastAsia="宋体" w:cs="宋体"/>
                <w:b/>
                <w:color w:val="auto"/>
                <w:kern w:val="2"/>
                <w:sz w:val="24"/>
                <w:szCs w:val="22"/>
                <w:highlight w:val="none"/>
                <w:lang w:val="en-US" w:eastAsia="zh-CN" w:bidi="ar-SA"/>
              </w:rPr>
            </w:pPr>
            <w:r>
              <w:rPr>
                <w:rFonts w:hint="eastAsia" w:ascii="Calibri" w:hAnsi="宋体" w:eastAsia="宋体" w:cs="宋体"/>
                <w:b/>
                <w:color w:val="auto"/>
                <w:kern w:val="2"/>
                <w:sz w:val="24"/>
                <w:szCs w:val="22"/>
                <w:highlight w:val="none"/>
                <w:lang w:val="en-US" w:eastAsia="zh-CN" w:bidi="ar-SA"/>
              </w:rPr>
              <w:t>约定内容</w:t>
            </w:r>
          </w:p>
        </w:tc>
        <w:tc>
          <w:tcPr>
            <w:tcW w:w="791" w:type="dxa"/>
            <w:tcBorders>
              <w:top w:val="single" w:color="auto" w:sz="12" w:space="0"/>
              <w:left w:val="single" w:color="auto" w:sz="4" w:space="0"/>
              <w:bottom w:val="single" w:color="auto" w:sz="6" w:space="0"/>
              <w:right w:val="single" w:color="auto" w:sz="12" w:space="0"/>
            </w:tcBorders>
            <w:noWrap w:val="0"/>
            <w:vAlign w:val="center"/>
          </w:tcPr>
          <w:p w14:paraId="3E51B479">
            <w:pPr>
              <w:widowControl w:val="0"/>
              <w:spacing w:line="360" w:lineRule="exact"/>
              <w:jc w:val="center"/>
              <w:rPr>
                <w:rFonts w:ascii="Calibri" w:hAnsi="宋体" w:eastAsia="宋体" w:cs="宋体"/>
                <w:b/>
                <w:color w:val="auto"/>
                <w:kern w:val="2"/>
                <w:sz w:val="24"/>
                <w:szCs w:val="22"/>
                <w:highlight w:val="none"/>
                <w:lang w:val="en-US" w:eastAsia="zh-CN" w:bidi="ar-SA"/>
              </w:rPr>
            </w:pPr>
            <w:r>
              <w:rPr>
                <w:rFonts w:hint="eastAsia" w:ascii="Calibri" w:hAnsi="宋体" w:eastAsia="宋体" w:cs="宋体"/>
                <w:b/>
                <w:color w:val="auto"/>
                <w:kern w:val="2"/>
                <w:sz w:val="24"/>
                <w:szCs w:val="22"/>
                <w:highlight w:val="none"/>
                <w:lang w:val="en-US" w:eastAsia="zh-CN" w:bidi="ar-SA"/>
              </w:rPr>
              <w:t>备注</w:t>
            </w:r>
          </w:p>
        </w:tc>
      </w:tr>
      <w:tr w14:paraId="195445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0" w:hRule="atLeast"/>
          <w:jc w:val="center"/>
        </w:trPr>
        <w:tc>
          <w:tcPr>
            <w:tcW w:w="533" w:type="dxa"/>
            <w:tcBorders>
              <w:top w:val="single" w:color="auto" w:sz="6" w:space="0"/>
              <w:left w:val="single" w:color="auto" w:sz="12" w:space="0"/>
              <w:bottom w:val="single" w:color="auto" w:sz="6" w:space="0"/>
              <w:right w:val="single" w:color="auto" w:sz="6" w:space="0"/>
            </w:tcBorders>
            <w:noWrap w:val="0"/>
            <w:vAlign w:val="center"/>
          </w:tcPr>
          <w:p w14:paraId="506EC557">
            <w:pPr>
              <w:widowControl w:val="0"/>
              <w:spacing w:line="36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1</w:t>
            </w:r>
          </w:p>
        </w:tc>
        <w:tc>
          <w:tcPr>
            <w:tcW w:w="2235" w:type="dxa"/>
            <w:tcBorders>
              <w:top w:val="single" w:color="auto" w:sz="6" w:space="0"/>
              <w:left w:val="single" w:color="auto" w:sz="6" w:space="0"/>
              <w:bottom w:val="single" w:color="auto" w:sz="6" w:space="0"/>
              <w:right w:val="single" w:color="auto" w:sz="6" w:space="0"/>
            </w:tcBorders>
            <w:noWrap w:val="0"/>
            <w:vAlign w:val="center"/>
          </w:tcPr>
          <w:p w14:paraId="6B2F06AC">
            <w:pPr>
              <w:widowControl w:val="0"/>
              <w:spacing w:line="36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项目负责人</w:t>
            </w:r>
          </w:p>
        </w:tc>
        <w:tc>
          <w:tcPr>
            <w:tcW w:w="4203" w:type="dxa"/>
            <w:tcBorders>
              <w:top w:val="single" w:color="auto" w:sz="6" w:space="0"/>
              <w:left w:val="single" w:color="auto" w:sz="6" w:space="0"/>
              <w:bottom w:val="single" w:color="auto" w:sz="6" w:space="0"/>
              <w:right w:val="single" w:color="auto" w:sz="4" w:space="0"/>
            </w:tcBorders>
            <w:noWrap w:val="0"/>
            <w:vAlign w:val="center"/>
          </w:tcPr>
          <w:p w14:paraId="7A764733">
            <w:pPr>
              <w:widowControl w:val="0"/>
              <w:spacing w:line="360" w:lineRule="exact"/>
              <w:jc w:val="both"/>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姓名：</w:t>
            </w:r>
            <w:r>
              <w:rPr>
                <w:rFonts w:hint="eastAsia" w:ascii="宋体" w:hAnsi="宋体" w:eastAsia="宋体" w:cs="宋体"/>
                <w:color w:val="auto"/>
                <w:kern w:val="2"/>
                <w:sz w:val="24"/>
                <w:szCs w:val="22"/>
                <w:highlight w:val="none"/>
                <w:u w:val="single"/>
                <w:lang w:val="en-US" w:eastAsia="zh-CN" w:bidi="ar-SA"/>
              </w:rPr>
              <w:tab/>
            </w:r>
            <w:r>
              <w:rPr>
                <w:rFonts w:hint="eastAsia" w:ascii="宋体" w:hAnsi="宋体" w:eastAsia="宋体" w:cs="宋体"/>
                <w:color w:val="auto"/>
                <w:kern w:val="2"/>
                <w:sz w:val="24"/>
                <w:szCs w:val="22"/>
                <w:highlight w:val="none"/>
                <w:u w:val="single"/>
                <w:lang w:val="en-US" w:eastAsia="zh-CN" w:bidi="ar-SA"/>
              </w:rPr>
              <w:t xml:space="preserve">               </w:t>
            </w:r>
          </w:p>
        </w:tc>
        <w:tc>
          <w:tcPr>
            <w:tcW w:w="791" w:type="dxa"/>
            <w:tcBorders>
              <w:top w:val="single" w:color="auto" w:sz="6" w:space="0"/>
              <w:left w:val="single" w:color="auto" w:sz="4" w:space="0"/>
              <w:bottom w:val="single" w:color="auto" w:sz="6" w:space="0"/>
              <w:right w:val="single" w:color="auto" w:sz="12" w:space="0"/>
            </w:tcBorders>
            <w:noWrap w:val="0"/>
            <w:vAlign w:val="center"/>
          </w:tcPr>
          <w:p w14:paraId="3C152224">
            <w:pPr>
              <w:widowControl w:val="0"/>
              <w:spacing w:line="360" w:lineRule="exact"/>
              <w:jc w:val="both"/>
              <w:rPr>
                <w:rFonts w:ascii="Calibri" w:hAnsi="宋体" w:eastAsia="宋体" w:cs="宋体"/>
                <w:b/>
                <w:color w:val="auto"/>
                <w:kern w:val="2"/>
                <w:sz w:val="24"/>
                <w:szCs w:val="22"/>
                <w:highlight w:val="none"/>
                <w:lang w:val="en-US" w:eastAsia="zh-CN" w:bidi="ar-SA"/>
              </w:rPr>
            </w:pPr>
          </w:p>
        </w:tc>
      </w:tr>
      <w:tr w14:paraId="6B385C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0" w:hRule="atLeast"/>
          <w:jc w:val="center"/>
        </w:trPr>
        <w:tc>
          <w:tcPr>
            <w:tcW w:w="533" w:type="dxa"/>
            <w:tcBorders>
              <w:top w:val="single" w:color="auto" w:sz="6" w:space="0"/>
              <w:left w:val="single" w:color="auto" w:sz="12" w:space="0"/>
              <w:bottom w:val="single" w:color="auto" w:sz="6" w:space="0"/>
              <w:right w:val="single" w:color="auto" w:sz="6" w:space="0"/>
            </w:tcBorders>
            <w:noWrap w:val="0"/>
            <w:vAlign w:val="center"/>
          </w:tcPr>
          <w:p w14:paraId="465CF64F">
            <w:pPr>
              <w:widowControl w:val="0"/>
              <w:spacing w:line="36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2</w:t>
            </w:r>
          </w:p>
        </w:tc>
        <w:tc>
          <w:tcPr>
            <w:tcW w:w="2235" w:type="dxa"/>
            <w:tcBorders>
              <w:top w:val="single" w:color="auto" w:sz="6" w:space="0"/>
              <w:left w:val="single" w:color="auto" w:sz="6" w:space="0"/>
              <w:bottom w:val="single" w:color="auto" w:sz="6" w:space="0"/>
              <w:right w:val="single" w:color="auto" w:sz="6" w:space="0"/>
            </w:tcBorders>
            <w:noWrap w:val="0"/>
            <w:vAlign w:val="center"/>
          </w:tcPr>
          <w:p w14:paraId="6D853B27">
            <w:pPr>
              <w:widowControl w:val="0"/>
              <w:spacing w:line="36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服务期限</w:t>
            </w:r>
          </w:p>
        </w:tc>
        <w:tc>
          <w:tcPr>
            <w:tcW w:w="4203" w:type="dxa"/>
            <w:tcBorders>
              <w:top w:val="single" w:color="auto" w:sz="6" w:space="0"/>
              <w:left w:val="single" w:color="auto" w:sz="6" w:space="0"/>
              <w:bottom w:val="single" w:color="auto" w:sz="6" w:space="0"/>
              <w:right w:val="single" w:color="auto" w:sz="4" w:space="0"/>
            </w:tcBorders>
            <w:noWrap w:val="0"/>
            <w:vAlign w:val="center"/>
          </w:tcPr>
          <w:p w14:paraId="22FE9325">
            <w:pPr>
              <w:widowControl w:val="0"/>
              <w:spacing w:line="360" w:lineRule="exact"/>
              <w:jc w:val="left"/>
              <w:rPr>
                <w:rFonts w:hint="eastAsia" w:ascii="宋体" w:hAnsi="宋体" w:eastAsia="宋体" w:cs="宋体"/>
                <w:color w:val="auto"/>
                <w:kern w:val="2"/>
                <w:sz w:val="24"/>
                <w:szCs w:val="22"/>
                <w:highlight w:val="none"/>
                <w:lang w:val="en-US" w:eastAsia="zh-CN" w:bidi="ar-SA"/>
              </w:rPr>
            </w:pPr>
          </w:p>
        </w:tc>
        <w:tc>
          <w:tcPr>
            <w:tcW w:w="791" w:type="dxa"/>
            <w:tcBorders>
              <w:top w:val="single" w:color="auto" w:sz="6" w:space="0"/>
              <w:left w:val="single" w:color="auto" w:sz="4" w:space="0"/>
              <w:bottom w:val="single" w:color="auto" w:sz="6" w:space="0"/>
              <w:right w:val="single" w:color="auto" w:sz="12" w:space="0"/>
            </w:tcBorders>
            <w:noWrap w:val="0"/>
            <w:vAlign w:val="center"/>
          </w:tcPr>
          <w:p w14:paraId="5D46E5CC">
            <w:pPr>
              <w:widowControl w:val="0"/>
              <w:spacing w:line="360" w:lineRule="exact"/>
              <w:jc w:val="both"/>
              <w:rPr>
                <w:rFonts w:ascii="Calibri" w:hAnsi="宋体" w:eastAsia="宋体" w:cs="宋体"/>
                <w:b/>
                <w:color w:val="auto"/>
                <w:kern w:val="2"/>
                <w:sz w:val="24"/>
                <w:szCs w:val="22"/>
                <w:highlight w:val="none"/>
                <w:lang w:val="en-US" w:eastAsia="zh-CN" w:bidi="ar-SA"/>
              </w:rPr>
            </w:pPr>
          </w:p>
        </w:tc>
      </w:tr>
      <w:tr w14:paraId="1A45C0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0" w:hRule="atLeast"/>
          <w:jc w:val="center"/>
        </w:trPr>
        <w:tc>
          <w:tcPr>
            <w:tcW w:w="533" w:type="dxa"/>
            <w:tcBorders>
              <w:top w:val="single" w:color="auto" w:sz="6" w:space="0"/>
              <w:left w:val="single" w:color="auto" w:sz="12" w:space="0"/>
              <w:bottom w:val="single" w:color="auto" w:sz="6" w:space="0"/>
              <w:right w:val="single" w:color="auto" w:sz="6" w:space="0"/>
            </w:tcBorders>
            <w:noWrap w:val="0"/>
            <w:vAlign w:val="center"/>
          </w:tcPr>
          <w:p w14:paraId="23248957">
            <w:pPr>
              <w:widowControl w:val="0"/>
              <w:spacing w:line="36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3</w:t>
            </w:r>
          </w:p>
        </w:tc>
        <w:tc>
          <w:tcPr>
            <w:tcW w:w="2235" w:type="dxa"/>
            <w:tcBorders>
              <w:top w:val="single" w:color="auto" w:sz="6" w:space="0"/>
              <w:left w:val="single" w:color="auto" w:sz="6" w:space="0"/>
              <w:bottom w:val="single" w:color="auto" w:sz="6" w:space="0"/>
              <w:right w:val="single" w:color="auto" w:sz="6" w:space="0"/>
            </w:tcBorders>
            <w:noWrap w:val="0"/>
            <w:vAlign w:val="center"/>
          </w:tcPr>
          <w:p w14:paraId="6FF2B3F8">
            <w:pPr>
              <w:widowControl w:val="0"/>
              <w:spacing w:line="36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质量要求</w:t>
            </w:r>
          </w:p>
        </w:tc>
        <w:tc>
          <w:tcPr>
            <w:tcW w:w="4203" w:type="dxa"/>
            <w:tcBorders>
              <w:top w:val="single" w:color="auto" w:sz="6" w:space="0"/>
              <w:left w:val="single" w:color="auto" w:sz="6" w:space="0"/>
              <w:bottom w:val="single" w:color="auto" w:sz="6" w:space="0"/>
              <w:right w:val="single" w:color="auto" w:sz="4" w:space="0"/>
            </w:tcBorders>
            <w:noWrap w:val="0"/>
            <w:vAlign w:val="center"/>
          </w:tcPr>
          <w:p w14:paraId="044E80A5">
            <w:pPr>
              <w:widowControl w:val="0"/>
              <w:spacing w:line="360" w:lineRule="exact"/>
              <w:jc w:val="both"/>
              <w:rPr>
                <w:rFonts w:ascii="宋体" w:hAnsi="宋体" w:eastAsia="宋体" w:cs="宋体"/>
                <w:snapToGrid w:val="0"/>
                <w:color w:val="auto"/>
                <w:kern w:val="2"/>
                <w:sz w:val="24"/>
                <w:szCs w:val="22"/>
                <w:highlight w:val="none"/>
                <w:lang w:val="en-US" w:eastAsia="zh-CN" w:bidi="ar-SA"/>
              </w:rPr>
            </w:pPr>
          </w:p>
        </w:tc>
        <w:tc>
          <w:tcPr>
            <w:tcW w:w="791" w:type="dxa"/>
            <w:tcBorders>
              <w:top w:val="single" w:color="auto" w:sz="6" w:space="0"/>
              <w:left w:val="single" w:color="auto" w:sz="4" w:space="0"/>
              <w:bottom w:val="single" w:color="auto" w:sz="6" w:space="0"/>
              <w:right w:val="single" w:color="auto" w:sz="12" w:space="0"/>
            </w:tcBorders>
            <w:noWrap w:val="0"/>
            <w:vAlign w:val="center"/>
          </w:tcPr>
          <w:p w14:paraId="16DDF194">
            <w:pPr>
              <w:widowControl w:val="0"/>
              <w:spacing w:line="360" w:lineRule="exact"/>
              <w:jc w:val="both"/>
              <w:rPr>
                <w:rFonts w:ascii="Calibri" w:hAnsi="宋体" w:eastAsia="宋体" w:cs="宋体"/>
                <w:color w:val="auto"/>
                <w:kern w:val="2"/>
                <w:sz w:val="24"/>
                <w:szCs w:val="22"/>
                <w:highlight w:val="none"/>
                <w:lang w:val="en-US" w:eastAsia="zh-CN" w:bidi="ar-SA"/>
              </w:rPr>
            </w:pPr>
          </w:p>
        </w:tc>
      </w:tr>
      <w:tr w14:paraId="410D7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0" w:hRule="atLeast"/>
          <w:jc w:val="center"/>
        </w:trPr>
        <w:tc>
          <w:tcPr>
            <w:tcW w:w="533" w:type="dxa"/>
            <w:tcBorders>
              <w:top w:val="single" w:color="auto" w:sz="6" w:space="0"/>
              <w:left w:val="single" w:color="auto" w:sz="12" w:space="0"/>
              <w:bottom w:val="single" w:color="auto" w:sz="6" w:space="0"/>
              <w:right w:val="single" w:color="auto" w:sz="6" w:space="0"/>
            </w:tcBorders>
            <w:noWrap w:val="0"/>
            <w:vAlign w:val="center"/>
          </w:tcPr>
          <w:p w14:paraId="193B4E11">
            <w:pPr>
              <w:widowControl w:val="0"/>
              <w:spacing w:line="36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4</w:t>
            </w:r>
          </w:p>
        </w:tc>
        <w:tc>
          <w:tcPr>
            <w:tcW w:w="2235" w:type="dxa"/>
            <w:tcBorders>
              <w:top w:val="single" w:color="auto" w:sz="6" w:space="0"/>
              <w:left w:val="single" w:color="auto" w:sz="6" w:space="0"/>
              <w:bottom w:val="single" w:color="auto" w:sz="6" w:space="0"/>
              <w:right w:val="single" w:color="auto" w:sz="6" w:space="0"/>
            </w:tcBorders>
            <w:noWrap w:val="0"/>
            <w:vAlign w:val="center"/>
          </w:tcPr>
          <w:p w14:paraId="4047AFB9">
            <w:pPr>
              <w:widowControl w:val="0"/>
              <w:spacing w:line="36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合同价款确定方式</w:t>
            </w:r>
          </w:p>
        </w:tc>
        <w:tc>
          <w:tcPr>
            <w:tcW w:w="4203" w:type="dxa"/>
            <w:tcBorders>
              <w:top w:val="single" w:color="auto" w:sz="6" w:space="0"/>
              <w:left w:val="single" w:color="auto" w:sz="6" w:space="0"/>
              <w:bottom w:val="single" w:color="auto" w:sz="6" w:space="0"/>
              <w:right w:val="single" w:color="auto" w:sz="4" w:space="0"/>
            </w:tcBorders>
            <w:noWrap w:val="0"/>
            <w:vAlign w:val="center"/>
          </w:tcPr>
          <w:p w14:paraId="72381CD2">
            <w:pPr>
              <w:widowControl w:val="0"/>
              <w:spacing w:line="360" w:lineRule="exact"/>
              <w:jc w:val="both"/>
              <w:rPr>
                <w:rFonts w:hint="eastAsia" w:ascii="宋体" w:hAnsi="宋体" w:eastAsia="宋体" w:cs="宋体"/>
                <w:color w:val="auto"/>
                <w:kern w:val="2"/>
                <w:sz w:val="24"/>
                <w:szCs w:val="22"/>
                <w:highlight w:val="none"/>
                <w:lang w:val="en-US" w:eastAsia="zh-CN" w:bidi="ar-SA"/>
              </w:rPr>
            </w:pPr>
          </w:p>
        </w:tc>
        <w:tc>
          <w:tcPr>
            <w:tcW w:w="791" w:type="dxa"/>
            <w:tcBorders>
              <w:top w:val="single" w:color="auto" w:sz="6" w:space="0"/>
              <w:left w:val="single" w:color="auto" w:sz="4" w:space="0"/>
              <w:bottom w:val="single" w:color="auto" w:sz="6" w:space="0"/>
              <w:right w:val="single" w:color="auto" w:sz="12" w:space="0"/>
            </w:tcBorders>
            <w:noWrap w:val="0"/>
            <w:vAlign w:val="center"/>
          </w:tcPr>
          <w:p w14:paraId="0134B773">
            <w:pPr>
              <w:widowControl w:val="0"/>
              <w:spacing w:line="360" w:lineRule="exact"/>
              <w:ind w:firstLine="960" w:firstLineChars="400"/>
              <w:jc w:val="both"/>
              <w:rPr>
                <w:rFonts w:ascii="Calibri" w:hAnsi="宋体" w:eastAsia="宋体" w:cs="宋体"/>
                <w:snapToGrid w:val="0"/>
                <w:color w:val="auto"/>
                <w:kern w:val="2"/>
                <w:sz w:val="24"/>
                <w:szCs w:val="22"/>
                <w:highlight w:val="none"/>
                <w:lang w:val="en-US" w:eastAsia="zh-CN" w:bidi="ar-SA"/>
              </w:rPr>
            </w:pPr>
          </w:p>
        </w:tc>
      </w:tr>
      <w:tr w14:paraId="503FDA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0" w:hRule="atLeast"/>
          <w:jc w:val="center"/>
        </w:trPr>
        <w:tc>
          <w:tcPr>
            <w:tcW w:w="533" w:type="dxa"/>
            <w:tcBorders>
              <w:top w:val="single" w:color="auto" w:sz="6" w:space="0"/>
              <w:left w:val="single" w:color="auto" w:sz="12" w:space="0"/>
              <w:bottom w:val="single" w:color="auto" w:sz="6" w:space="0"/>
              <w:right w:val="single" w:color="auto" w:sz="6" w:space="0"/>
            </w:tcBorders>
            <w:noWrap w:val="0"/>
            <w:vAlign w:val="center"/>
          </w:tcPr>
          <w:p w14:paraId="2945F170">
            <w:pPr>
              <w:widowControl w:val="0"/>
              <w:spacing w:line="36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5</w:t>
            </w:r>
          </w:p>
        </w:tc>
        <w:tc>
          <w:tcPr>
            <w:tcW w:w="2235" w:type="dxa"/>
            <w:tcBorders>
              <w:top w:val="single" w:color="auto" w:sz="6" w:space="0"/>
              <w:left w:val="single" w:color="auto" w:sz="6" w:space="0"/>
              <w:bottom w:val="single" w:color="auto" w:sz="6" w:space="0"/>
              <w:right w:val="single" w:color="auto" w:sz="6" w:space="0"/>
            </w:tcBorders>
            <w:noWrap w:val="0"/>
            <w:vAlign w:val="center"/>
          </w:tcPr>
          <w:p w14:paraId="11FA2EE7">
            <w:pPr>
              <w:widowControl w:val="0"/>
              <w:spacing w:line="36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专用合同条款的其他内容</w:t>
            </w:r>
          </w:p>
        </w:tc>
        <w:tc>
          <w:tcPr>
            <w:tcW w:w="4203" w:type="dxa"/>
            <w:tcBorders>
              <w:top w:val="single" w:color="auto" w:sz="6" w:space="0"/>
              <w:left w:val="single" w:color="auto" w:sz="6" w:space="0"/>
              <w:bottom w:val="single" w:color="auto" w:sz="6" w:space="0"/>
              <w:right w:val="single" w:color="auto" w:sz="4" w:space="0"/>
            </w:tcBorders>
            <w:noWrap w:val="0"/>
            <w:vAlign w:val="center"/>
          </w:tcPr>
          <w:p w14:paraId="481A9F68">
            <w:pPr>
              <w:widowControl w:val="0"/>
              <w:spacing w:line="360" w:lineRule="exact"/>
              <w:jc w:val="both"/>
              <w:rPr>
                <w:rFonts w:hint="eastAsia" w:ascii="宋体" w:hAnsi="宋体" w:eastAsia="宋体" w:cs="宋体"/>
                <w:color w:val="auto"/>
                <w:kern w:val="2"/>
                <w:sz w:val="24"/>
                <w:szCs w:val="22"/>
                <w:highlight w:val="none"/>
                <w:lang w:val="en-US" w:eastAsia="zh-CN" w:bidi="ar-SA"/>
              </w:rPr>
            </w:pPr>
          </w:p>
        </w:tc>
        <w:tc>
          <w:tcPr>
            <w:tcW w:w="791" w:type="dxa"/>
            <w:tcBorders>
              <w:top w:val="single" w:color="auto" w:sz="6" w:space="0"/>
              <w:left w:val="single" w:color="auto" w:sz="4" w:space="0"/>
              <w:bottom w:val="single" w:color="auto" w:sz="6" w:space="0"/>
              <w:right w:val="single" w:color="auto" w:sz="12" w:space="0"/>
            </w:tcBorders>
            <w:noWrap w:val="0"/>
            <w:vAlign w:val="center"/>
          </w:tcPr>
          <w:p w14:paraId="6532BC1A">
            <w:pPr>
              <w:widowControl w:val="0"/>
              <w:spacing w:line="360" w:lineRule="exact"/>
              <w:ind w:firstLine="960" w:firstLineChars="400"/>
              <w:jc w:val="both"/>
              <w:rPr>
                <w:rFonts w:hint="eastAsia" w:ascii="宋体" w:hAnsi="宋体" w:eastAsia="宋体" w:cs="宋体"/>
                <w:snapToGrid w:val="0"/>
                <w:color w:val="auto"/>
                <w:kern w:val="2"/>
                <w:sz w:val="24"/>
                <w:szCs w:val="22"/>
                <w:highlight w:val="none"/>
                <w:lang w:val="en-US" w:eastAsia="zh-CN" w:bidi="ar-SA"/>
              </w:rPr>
            </w:pPr>
          </w:p>
        </w:tc>
      </w:tr>
    </w:tbl>
    <w:p w14:paraId="2DD446E8">
      <w:pPr>
        <w:spacing w:line="360" w:lineRule="exact"/>
        <w:rPr>
          <w:rFonts w:hint="eastAsia" w:ascii="宋体" w:hAnsi="宋体" w:cs="宋体"/>
          <w:b/>
          <w:color w:val="auto"/>
          <w:sz w:val="24"/>
          <w:highlight w:val="none"/>
        </w:rPr>
      </w:pPr>
      <w:r>
        <w:rPr>
          <w:rFonts w:hint="eastAsia" w:ascii="宋体" w:hAnsi="宋体" w:cs="宋体"/>
          <w:b/>
          <w:color w:val="auto"/>
          <w:sz w:val="24"/>
          <w:highlight w:val="none"/>
        </w:rPr>
        <w:t>备注：1.投标人在响应招标文件中规定的实质性要求和条件的基础上，可做出其他有利于招标人的承诺。此类承诺可在本表中予以补充填写，但投标人在“约定内容”中填写的内容低于招标文件中规定的实质性要求的，视为没有对招标文件的实质性要求和条件作出响应。本备注栏的内容可以删除以节省篇幅；</w:t>
      </w:r>
    </w:p>
    <w:p w14:paraId="7770BFA2">
      <w:pPr>
        <w:spacing w:line="360" w:lineRule="exact"/>
        <w:ind w:firstLine="716" w:firstLineChars="298"/>
        <w:rPr>
          <w:rFonts w:hint="eastAsia" w:ascii="宋体" w:hAnsi="宋体" w:cs="宋体"/>
          <w:b/>
          <w:color w:val="auto"/>
          <w:sz w:val="24"/>
          <w:highlight w:val="none"/>
        </w:rPr>
      </w:pPr>
      <w:r>
        <w:rPr>
          <w:rFonts w:hint="eastAsia" w:ascii="宋体" w:hAnsi="宋体" w:cs="宋体"/>
          <w:b/>
          <w:color w:val="auto"/>
          <w:sz w:val="24"/>
          <w:highlight w:val="none"/>
        </w:rPr>
        <w:t>2.“服务期限”“质量要求”请留意本招标公告/投标邀请书中的相关内容，投标人若接受招标公告/投标邀请书中约定内容的，可在备注栏中填写“接受招标公告/投标邀请书的内容”，无需再填写“约定内容”；</w:t>
      </w:r>
    </w:p>
    <w:p w14:paraId="27B6A19A">
      <w:pPr>
        <w:spacing w:line="440" w:lineRule="exact"/>
        <w:ind w:firstLine="720" w:firstLineChars="300"/>
        <w:rPr>
          <w:rFonts w:hint="eastAsia" w:ascii="宋体" w:hAnsi="宋体" w:cs="宋体"/>
          <w:color w:val="auto"/>
          <w:kern w:val="0"/>
          <w:sz w:val="24"/>
          <w:highlight w:val="none"/>
        </w:rPr>
      </w:pPr>
      <w:r>
        <w:rPr>
          <w:rFonts w:hint="eastAsia" w:ascii="宋体" w:hAnsi="宋体" w:cs="宋体"/>
          <w:b/>
          <w:color w:val="auto"/>
          <w:sz w:val="24"/>
          <w:highlight w:val="none"/>
        </w:rPr>
        <w:t>3.“专用合同条款的其他内容”要求投标人明确填写是否接受本招标文件第五章合同条款及格式中专用合同条款的其他内容。</w:t>
      </w:r>
    </w:p>
    <w:p w14:paraId="58D505C0">
      <w:pPr>
        <w:spacing w:line="440" w:lineRule="exact"/>
        <w:ind w:firstLine="3840" w:firstLineChars="1600"/>
        <w:rPr>
          <w:rFonts w:hint="eastAsia" w:ascii="宋体" w:hAnsi="宋体" w:cs="宋体"/>
          <w:color w:val="auto"/>
          <w:kern w:val="0"/>
          <w:sz w:val="24"/>
          <w:highlight w:val="none"/>
        </w:rPr>
      </w:pPr>
    </w:p>
    <w:p w14:paraId="33F84C20">
      <w:pPr>
        <w:spacing w:line="440" w:lineRule="exact"/>
        <w:ind w:firstLine="2880" w:firstLineChars="1200"/>
        <w:rPr>
          <w:rFonts w:hint="eastAsia" w:ascii="宋体" w:hAnsi="宋体" w:cs="宋体"/>
          <w:color w:val="auto"/>
          <w:kern w:val="0"/>
          <w:sz w:val="24"/>
          <w:highlight w:val="none"/>
        </w:rPr>
      </w:pPr>
      <w:r>
        <w:rPr>
          <w:rFonts w:hint="eastAsia" w:ascii="宋体" w:hAnsi="宋体" w:cs="宋体"/>
          <w:color w:val="auto"/>
          <w:kern w:val="0"/>
          <w:sz w:val="24"/>
          <w:highlight w:val="none"/>
        </w:rPr>
        <w:t>投标人：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（盖公章）</w:t>
      </w:r>
    </w:p>
    <w:p w14:paraId="648DBF99">
      <w:pPr>
        <w:spacing w:line="440" w:lineRule="exact"/>
        <w:ind w:firstLine="3840" w:firstLineChars="1600"/>
        <w:rPr>
          <w:rFonts w:hint="eastAsia" w:ascii="宋体" w:hAnsi="宋体" w:cs="宋体"/>
          <w:color w:val="auto"/>
          <w:sz w:val="24"/>
          <w:highlight w:val="none"/>
        </w:rPr>
      </w:pPr>
    </w:p>
    <w:p w14:paraId="358A9236">
      <w:pPr>
        <w:spacing w:line="440" w:lineRule="exact"/>
        <w:ind w:firstLine="2160" w:firstLineChars="900"/>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（签字</w:t>
      </w:r>
      <w:r>
        <w:rPr>
          <w:rFonts w:hint="eastAsia" w:ascii="宋体" w:hAnsi="宋体" w:cs="宋体"/>
          <w:color w:val="auto"/>
          <w:kern w:val="0"/>
          <w:sz w:val="24"/>
          <w:highlight w:val="none"/>
        </w:rPr>
        <w:t>（章）</w:t>
      </w:r>
      <w:r>
        <w:rPr>
          <w:rFonts w:hint="eastAsia" w:ascii="宋体" w:hAnsi="宋体" w:cs="宋体"/>
          <w:color w:val="auto"/>
          <w:sz w:val="24"/>
          <w:highlight w:val="none"/>
        </w:rPr>
        <w:t>）</w:t>
      </w:r>
    </w:p>
    <w:p w14:paraId="19535670">
      <w:pPr>
        <w:spacing w:line="440" w:lineRule="exact"/>
        <w:ind w:firstLine="4080" w:firstLineChars="1700"/>
        <w:jc w:val="right"/>
        <w:rPr>
          <w:rFonts w:hint="eastAsia" w:ascii="宋体" w:hAnsi="宋体" w:cs="宋体"/>
          <w:color w:val="auto"/>
          <w:kern w:val="0"/>
          <w:sz w:val="24"/>
          <w:highlight w:val="none"/>
          <w:u w:val="single"/>
        </w:rPr>
      </w:pPr>
    </w:p>
    <w:p w14:paraId="459488D1">
      <w:pPr>
        <w:spacing w:line="440" w:lineRule="exact"/>
        <w:ind w:firstLine="4080" w:firstLineChars="1700"/>
        <w:jc w:val="right"/>
        <w:rPr>
          <w:rFonts w:hint="eastAsia" w:ascii="宋体" w:hAnsi="宋体" w:cs="宋体"/>
          <w:color w:val="auto"/>
          <w:sz w:val="10"/>
          <w:szCs w:val="10"/>
          <w:highlight w:val="none"/>
        </w:rPr>
      </w:pP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49459FD0">
      <w:pPr>
        <w:keepNext/>
        <w:keepLines/>
        <w:tabs>
          <w:tab w:val="left" w:pos="2520"/>
        </w:tabs>
        <w:spacing w:before="260" w:after="260" w:line="410" w:lineRule="auto"/>
        <w:ind w:firstLine="137" w:firstLineChars="49"/>
        <w:jc w:val="center"/>
        <w:outlineLvl w:val="2"/>
        <w:rPr>
          <w:rFonts w:hint="eastAsia" w:ascii="宋体" w:hAnsi="宋体" w:eastAsia="黑体" w:cs="宋体"/>
          <w:color w:val="auto"/>
          <w:sz w:val="24"/>
          <w:szCs w:val="20"/>
          <w:highlight w:val="none"/>
          <w:u w:val="single"/>
        </w:rPr>
      </w:pPr>
      <w:r>
        <w:rPr>
          <w:rFonts w:hint="eastAsia" w:ascii="黑体" w:eastAsia="黑体" w:cs="宋体"/>
          <w:color w:val="auto"/>
          <w:sz w:val="28"/>
          <w:szCs w:val="20"/>
          <w:highlight w:val="none"/>
        </w:rPr>
        <w:br w:type="page"/>
      </w:r>
      <w:r>
        <w:rPr>
          <w:rFonts w:hint="eastAsia" w:ascii="黑体" w:eastAsia="黑体" w:cs="宋体"/>
          <w:color w:val="auto"/>
          <w:sz w:val="28"/>
          <w:szCs w:val="20"/>
          <w:highlight w:val="none"/>
        </w:rPr>
        <w:t>二、投标保证金</w:t>
      </w:r>
    </w:p>
    <w:p w14:paraId="6C20526E">
      <w:pPr>
        <w:spacing w:line="440" w:lineRule="exact"/>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（招标人名称）：</w:t>
      </w:r>
    </w:p>
    <w:p w14:paraId="4D789BAA">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鉴于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（投标人名称）（以下称“投标人”）于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日参加</w:t>
      </w:r>
      <w:r>
        <w:rPr>
          <w:rFonts w:hint="eastAsia" w:ascii="宋体" w:hAnsi="宋体" w:cs="宋体"/>
          <w:color w:val="auto"/>
          <w:sz w:val="24"/>
          <w:highlight w:val="none"/>
          <w:u w:val="single"/>
        </w:rPr>
        <w:t xml:space="preserve">     </w:t>
      </w:r>
      <w:r>
        <w:rPr>
          <w:rFonts w:hint="eastAsia" w:ascii="宋体" w:hAnsi="宋体" w:cs="宋体"/>
          <w:color w:val="auto"/>
          <w:szCs w:val="21"/>
          <w:highlight w:val="none"/>
        </w:rPr>
        <w:t>（项目名称）</w:t>
      </w:r>
      <w:r>
        <w:rPr>
          <w:rFonts w:hint="eastAsia" w:ascii="宋体" w:hAnsi="宋体" w:cs="宋体"/>
          <w:color w:val="auto"/>
          <w:sz w:val="24"/>
          <w:highlight w:val="none"/>
        </w:rPr>
        <w:t>的投标，我单位已按招标文件的规定提交了投标保证金共计人民币（大写）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（小写：￥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w:t>
      </w:r>
    </w:p>
    <w:p w14:paraId="2DE03AEC">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我方承诺：</w:t>
      </w:r>
    </w:p>
    <w:p w14:paraId="4844B5B0">
      <w:pPr>
        <w:numPr>
          <w:ilvl w:val="0"/>
          <w:numId w:val="0"/>
        </w:numPr>
        <w:tabs>
          <w:tab w:val="left" w:pos="900"/>
        </w:tabs>
        <w:spacing w:line="440" w:lineRule="exact"/>
        <w:ind w:left="0" w:firstLine="480" w:firstLineChars="200"/>
        <w:rPr>
          <w:rFonts w:hint="eastAsia" w:ascii="宋体" w:hAnsi="宋体" w:cs="宋体"/>
          <w:color w:val="auto"/>
          <w:sz w:val="24"/>
          <w:highlight w:val="none"/>
        </w:rPr>
      </w:pPr>
      <w:r>
        <w:rPr>
          <w:rFonts w:hint="eastAsia" w:ascii="宋体" w:hAnsi="宋体" w:cs="宋体"/>
          <w:color w:val="auto"/>
          <w:sz w:val="24"/>
          <w:highlight w:val="none"/>
        </w:rPr>
        <w:t>1.我方将严格遵守《中华人民共和国招标投标法》及相关</w:t>
      </w:r>
      <w:r>
        <w:rPr>
          <w:rFonts w:hint="eastAsia" w:ascii="宋体" w:hAnsi="宋体"/>
          <w:color w:val="auto"/>
          <w:sz w:val="24"/>
          <w:highlight w:val="none"/>
        </w:rPr>
        <w:t>法律、法规、规章、规范性文件以及国家、省、市各级政府部门工作文件规定</w:t>
      </w:r>
      <w:r>
        <w:rPr>
          <w:rFonts w:hint="eastAsia" w:ascii="宋体" w:hAnsi="宋体" w:cs="宋体"/>
          <w:color w:val="auto"/>
          <w:sz w:val="24"/>
          <w:highlight w:val="none"/>
        </w:rPr>
        <w:t>，在本次投标过程中保证不“挂靠”、不“围标”、不串标、不提供虚假资料、履行中标承诺、填报的人员设备按时进场，如有违背，愿无条件接受贵方扣罚投标保证金；</w:t>
      </w:r>
    </w:p>
    <w:p w14:paraId="134A640C">
      <w:pPr>
        <w:numPr>
          <w:ilvl w:val="0"/>
          <w:numId w:val="0"/>
        </w:numPr>
        <w:tabs>
          <w:tab w:val="left" w:pos="900"/>
        </w:tabs>
        <w:spacing w:line="440" w:lineRule="exact"/>
        <w:ind w:left="0" w:firstLine="480" w:firstLineChars="200"/>
        <w:rPr>
          <w:rFonts w:hint="eastAsia" w:ascii="宋体" w:hAnsi="宋体" w:cs="宋体"/>
          <w:color w:val="auto"/>
          <w:sz w:val="24"/>
          <w:highlight w:val="none"/>
        </w:rPr>
      </w:pPr>
      <w:r>
        <w:rPr>
          <w:rFonts w:hint="eastAsia" w:ascii="宋体" w:hAnsi="宋体" w:cs="宋体"/>
          <w:color w:val="auto"/>
          <w:sz w:val="24"/>
          <w:highlight w:val="none"/>
        </w:rPr>
        <w:t>2.我方愿意遵守招标文件中关于投标人须知部分所列明的各项规定，如出现有招标文件第三章投标人须知第3.5.3项所列情形之一的，愿无条件接受贵方扣罚投标保证金。</w:t>
      </w:r>
    </w:p>
    <w:p w14:paraId="1B957CC6">
      <w:pPr>
        <w:numPr>
          <w:ilvl w:val="0"/>
          <w:numId w:val="0"/>
        </w:numPr>
        <w:tabs>
          <w:tab w:val="left" w:pos="900"/>
        </w:tabs>
        <w:spacing w:line="440" w:lineRule="exact"/>
        <w:ind w:left="0" w:firstLine="480" w:firstLineChars="200"/>
        <w:rPr>
          <w:rFonts w:hint="eastAsia" w:ascii="宋体" w:hAnsi="宋体" w:cs="宋体"/>
          <w:color w:val="auto"/>
          <w:sz w:val="24"/>
          <w:highlight w:val="none"/>
        </w:rPr>
      </w:pPr>
      <w:r>
        <w:rPr>
          <w:rFonts w:hint="eastAsia" w:ascii="宋体" w:hAnsi="宋体" w:cs="宋体"/>
          <w:color w:val="auto"/>
          <w:sz w:val="24"/>
          <w:highlight w:val="none"/>
        </w:rPr>
        <w:t>3.我方提交及退还投标保证金的开户银行（企业基本账户）及账号如下（如有）：</w:t>
      </w:r>
    </w:p>
    <w:p w14:paraId="2FB05B3F">
      <w:pPr>
        <w:spacing w:line="440" w:lineRule="exact"/>
        <w:ind w:firstLine="960" w:firstLineChars="400"/>
        <w:rPr>
          <w:rFonts w:hint="eastAsia" w:ascii="宋体" w:hAnsi="宋体" w:cs="宋体"/>
          <w:color w:val="auto"/>
          <w:sz w:val="24"/>
          <w:highlight w:val="none"/>
        </w:rPr>
      </w:pPr>
      <w:r>
        <w:rPr>
          <w:rFonts w:hint="eastAsia" w:ascii="宋体" w:hAnsi="宋体" w:cs="宋体"/>
          <w:color w:val="auto"/>
          <w:sz w:val="24"/>
          <w:highlight w:val="none"/>
        </w:rPr>
        <w:t>开户银行：</w:t>
      </w:r>
    </w:p>
    <w:p w14:paraId="796BC580">
      <w:pPr>
        <w:spacing w:line="440" w:lineRule="exact"/>
        <w:ind w:firstLine="960" w:firstLineChars="400"/>
        <w:rPr>
          <w:rFonts w:hint="eastAsia" w:ascii="宋体" w:hAnsi="宋体" w:cs="宋体"/>
          <w:color w:val="auto"/>
          <w:sz w:val="24"/>
          <w:highlight w:val="none"/>
        </w:rPr>
      </w:pPr>
      <w:r>
        <w:rPr>
          <w:rFonts w:hint="eastAsia" w:ascii="宋体" w:hAnsi="宋体" w:cs="宋体"/>
          <w:color w:val="auto"/>
          <w:sz w:val="24"/>
          <w:highlight w:val="none"/>
        </w:rPr>
        <w:t>账户名称：</w:t>
      </w:r>
    </w:p>
    <w:p w14:paraId="5D2A8465">
      <w:pPr>
        <w:spacing w:line="440" w:lineRule="exact"/>
        <w:ind w:firstLine="960" w:firstLineChars="400"/>
        <w:rPr>
          <w:rFonts w:hint="eastAsia" w:ascii="宋体" w:hAnsi="宋体" w:cs="宋体"/>
          <w:color w:val="auto"/>
          <w:sz w:val="24"/>
          <w:highlight w:val="none"/>
        </w:rPr>
      </w:pPr>
      <w:r>
        <w:rPr>
          <w:rFonts w:hint="eastAsia" w:ascii="宋体" w:hAnsi="宋体" w:cs="宋体"/>
          <w:color w:val="auto"/>
          <w:sz w:val="24"/>
          <w:highlight w:val="none"/>
        </w:rPr>
        <w:t>银行账号：</w:t>
      </w:r>
    </w:p>
    <w:p w14:paraId="65875F3F">
      <w:pPr>
        <w:numPr>
          <w:ilvl w:val="0"/>
          <w:numId w:val="0"/>
        </w:numPr>
        <w:tabs>
          <w:tab w:val="left" w:pos="900"/>
        </w:tabs>
        <w:spacing w:line="440" w:lineRule="exact"/>
        <w:ind w:left="540" w:firstLine="0"/>
        <w:rPr>
          <w:rFonts w:hint="eastAsia" w:ascii="宋体" w:hAnsi="宋体" w:cs="宋体"/>
          <w:color w:val="auto"/>
          <w:sz w:val="24"/>
          <w:highlight w:val="none"/>
        </w:rPr>
      </w:pPr>
    </w:p>
    <w:p w14:paraId="4E7F9296">
      <w:pPr>
        <w:spacing w:line="440" w:lineRule="exact"/>
        <w:ind w:firstLine="1920" w:firstLineChars="800"/>
        <w:rPr>
          <w:rFonts w:hint="eastAsia" w:ascii="宋体" w:hAnsi="宋体" w:cs="宋体"/>
          <w:color w:val="auto"/>
          <w:sz w:val="24"/>
          <w:highlight w:val="none"/>
        </w:rPr>
      </w:pPr>
      <w:r>
        <w:rPr>
          <w:rFonts w:hint="eastAsia" w:ascii="宋体" w:hAnsi="宋体" w:cs="宋体"/>
          <w:color w:val="auto"/>
          <w:sz w:val="24"/>
          <w:highlight w:val="none"/>
        </w:rPr>
        <w:t>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（盖公章）</w:t>
      </w:r>
    </w:p>
    <w:p w14:paraId="4ED2CE96">
      <w:pPr>
        <w:spacing w:line="440" w:lineRule="exact"/>
        <w:ind w:firstLine="1440" w:firstLineChars="600"/>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（签字</w:t>
      </w:r>
      <w:r>
        <w:rPr>
          <w:rFonts w:hint="eastAsia" w:ascii="宋体" w:hAnsi="宋体" w:cs="宋体"/>
          <w:color w:val="auto"/>
          <w:kern w:val="0"/>
          <w:sz w:val="24"/>
          <w:highlight w:val="none"/>
        </w:rPr>
        <w:t>（章）</w:t>
      </w:r>
      <w:r>
        <w:rPr>
          <w:rFonts w:hint="eastAsia" w:ascii="宋体" w:hAnsi="宋体" w:cs="宋体"/>
          <w:color w:val="auto"/>
          <w:sz w:val="24"/>
          <w:highlight w:val="none"/>
        </w:rPr>
        <w:t>）</w:t>
      </w:r>
    </w:p>
    <w:p w14:paraId="7AB36967">
      <w:pPr>
        <w:spacing w:line="440" w:lineRule="exact"/>
        <w:ind w:firstLine="1680" w:firstLineChars="700"/>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p>
    <w:p w14:paraId="4FF6E066">
      <w:pPr>
        <w:spacing w:line="440" w:lineRule="exact"/>
        <w:ind w:firstLine="1680" w:firstLineChars="700"/>
        <w:rPr>
          <w:rFonts w:hint="eastAsia" w:ascii="宋体" w:hAnsi="宋体" w:cs="宋体"/>
          <w:color w:val="auto"/>
          <w:sz w:val="24"/>
          <w:highlight w:val="none"/>
          <w:u w:val="single"/>
        </w:rPr>
      </w:pPr>
      <w:r>
        <w:rPr>
          <w:rFonts w:hint="eastAsia" w:ascii="宋体" w:hAnsi="宋体" w:cs="宋体"/>
          <w:color w:val="auto"/>
          <w:sz w:val="24"/>
          <w:highlight w:val="none"/>
        </w:rPr>
        <w:t>邮政编码：</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p>
    <w:p w14:paraId="01980170">
      <w:pPr>
        <w:spacing w:line="440" w:lineRule="exact"/>
        <w:ind w:firstLine="2467" w:firstLineChars="1028"/>
        <w:rPr>
          <w:rFonts w:hint="eastAsia" w:ascii="宋体" w:hAnsi="宋体" w:cs="宋体"/>
          <w:color w:val="auto"/>
          <w:sz w:val="24"/>
          <w:highlight w:val="none"/>
          <w:u w:val="single"/>
        </w:rPr>
      </w:pPr>
      <w:r>
        <w:rPr>
          <w:rFonts w:hint="eastAsia" w:ascii="宋体" w:hAnsi="宋体" w:cs="宋体"/>
          <w:color w:val="auto"/>
          <w:sz w:val="24"/>
          <w:highlight w:val="none"/>
        </w:rPr>
        <w:t>电    话：</w:t>
      </w:r>
      <w:r>
        <w:rPr>
          <w:rFonts w:hint="eastAsia" w:ascii="宋体" w:hAnsi="宋体" w:cs="宋体"/>
          <w:color w:val="auto"/>
          <w:sz w:val="24"/>
          <w:highlight w:val="none"/>
          <w:u w:val="single"/>
        </w:rPr>
        <w:t xml:space="preserve">                                           </w:t>
      </w:r>
    </w:p>
    <w:p w14:paraId="3355F15F">
      <w:pPr>
        <w:spacing w:line="440" w:lineRule="exact"/>
        <w:ind w:firstLine="2467" w:firstLineChars="1028"/>
        <w:rPr>
          <w:rFonts w:hint="eastAsia" w:ascii="宋体" w:hAnsi="宋体" w:cs="宋体"/>
          <w:color w:val="auto"/>
          <w:sz w:val="24"/>
          <w:highlight w:val="none"/>
        </w:rPr>
      </w:pPr>
      <w:r>
        <w:rPr>
          <w:rFonts w:hint="eastAsia" w:ascii="宋体" w:hAnsi="宋体" w:cs="宋体"/>
          <w:color w:val="auto"/>
          <w:sz w:val="24"/>
          <w:highlight w:val="none"/>
        </w:rPr>
        <w:t>传    真：</w:t>
      </w:r>
      <w:r>
        <w:rPr>
          <w:rFonts w:hint="eastAsia" w:ascii="宋体" w:hAnsi="宋体" w:cs="宋体"/>
          <w:color w:val="auto"/>
          <w:sz w:val="24"/>
          <w:highlight w:val="none"/>
          <w:u w:val="single"/>
        </w:rPr>
        <w:t xml:space="preserve">                                           </w:t>
      </w:r>
    </w:p>
    <w:p w14:paraId="79BC67E6">
      <w:pPr>
        <w:wordWrap w:val="0"/>
        <w:spacing w:line="440" w:lineRule="exact"/>
        <w:ind w:firstLine="2467" w:firstLineChars="1028"/>
        <w:jc w:val="right"/>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B56878D">
      <w:pPr>
        <w:widowControl/>
        <w:autoSpaceDE w:val="0"/>
        <w:autoSpaceDN w:val="0"/>
        <w:snapToGrid w:val="0"/>
        <w:spacing w:line="360" w:lineRule="auto"/>
        <w:textAlignment w:val="bottom"/>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787ACCEC">
      <w:pPr>
        <w:spacing w:line="3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注：1.以现金方式提交投标保证金的，应附投标保证金银行付款凭证及企业基本账户银行开户许可证</w:t>
      </w:r>
      <w:r>
        <w:rPr>
          <w:rFonts w:hint="eastAsia" w:ascii="宋体" w:hAnsi="宋体"/>
          <w:color w:val="auto"/>
          <w:sz w:val="24"/>
          <w:szCs w:val="24"/>
          <w:highlight w:val="none"/>
        </w:rPr>
        <w:t>或银行出具的《基本存款账户信息》</w:t>
      </w:r>
      <w:r>
        <w:rPr>
          <w:rFonts w:hint="eastAsia" w:ascii="宋体" w:hAnsi="宋体" w:cs="宋体"/>
          <w:color w:val="auto"/>
          <w:sz w:val="24"/>
          <w:szCs w:val="24"/>
          <w:highlight w:val="none"/>
        </w:rPr>
        <w:t>扫描件（加盖投标人公章）；</w:t>
      </w:r>
    </w:p>
    <w:p w14:paraId="6B21468F">
      <w:pPr>
        <w:numPr>
          <w:ilvl w:val="0"/>
          <w:numId w:val="0"/>
        </w:numPr>
        <w:spacing w:line="340" w:lineRule="exact"/>
        <w:ind w:lef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olor w:val="auto"/>
          <w:sz w:val="24"/>
          <w:szCs w:val="24"/>
          <w:highlight w:val="none"/>
        </w:rPr>
        <w:t>以电子投标保函（保单）形式提交投标保证金的，应通过与</w:t>
      </w:r>
      <w:r>
        <w:rPr>
          <w:rFonts w:hint="eastAsia" w:ascii="宋体" w:hAnsi="宋体" w:cs="宋体"/>
          <w:color w:val="auto"/>
          <w:kern w:val="0"/>
          <w:sz w:val="24"/>
          <w:highlight w:val="none"/>
        </w:rPr>
        <w:t>佛山市公共资源交易综合管理云平台</w:t>
      </w:r>
      <w:r>
        <w:rPr>
          <w:rFonts w:hint="eastAsia" w:ascii="宋体" w:hAnsi="宋体"/>
          <w:color w:val="auto"/>
          <w:sz w:val="24"/>
          <w:szCs w:val="24"/>
          <w:highlight w:val="none"/>
        </w:rPr>
        <w:t>互联互通的保证机构系统办理，并附下载的加密电子投标保函（保单）（加盖投标人公章）；</w:t>
      </w:r>
    </w:p>
    <w:p w14:paraId="36B736B0">
      <w:pPr>
        <w:spacing w:line="320" w:lineRule="exact"/>
        <w:rPr>
          <w:rFonts w:hint="eastAsia" w:ascii="宋体" w:hAnsi="宋体" w:cs="宋体"/>
          <w:color w:val="auto"/>
          <w:kern w:val="0"/>
          <w:szCs w:val="21"/>
          <w:highlight w:val="none"/>
        </w:rPr>
      </w:pPr>
      <w:r>
        <w:rPr>
          <w:rFonts w:hint="eastAsia" w:ascii="宋体" w:hAnsi="宋体"/>
          <w:color w:val="auto"/>
          <w:sz w:val="24"/>
          <w:szCs w:val="24"/>
          <w:highlight w:val="none"/>
        </w:rPr>
        <w:t>3.</w:t>
      </w:r>
      <w:r>
        <w:rPr>
          <w:rFonts w:hint="eastAsia" w:ascii="宋体" w:hAnsi="宋体" w:cs="宋体"/>
          <w:color w:val="auto"/>
          <w:sz w:val="24"/>
          <w:szCs w:val="24"/>
          <w:highlight w:val="none"/>
        </w:rPr>
        <w:t>以其他方式提交投标保证金的，应按我市工程建设项目招标投标领域投标担保有关要求附相关证明材料扫描件（加盖投标人公章）。</w:t>
      </w:r>
    </w:p>
    <w:p w14:paraId="7A09CEFE">
      <w:pPr>
        <w:keepNext w:val="0"/>
        <w:keepLines w:val="0"/>
        <w:spacing w:before="0" w:beforeLines="-2147483648" w:line="440" w:lineRule="exact"/>
        <w:jc w:val="center"/>
        <w:outlineLvl w:val="9"/>
        <w:rPr>
          <w:rFonts w:hint="eastAsia"/>
          <w:b/>
          <w:bCs/>
          <w:color w:val="auto"/>
          <w:sz w:val="32"/>
          <w:szCs w:val="32"/>
          <w:highlight w:val="none"/>
        </w:rPr>
      </w:pPr>
      <w:r>
        <w:rPr>
          <w:rFonts w:hint="eastAsia"/>
          <w:b/>
          <w:bCs/>
          <w:color w:val="auto"/>
          <w:sz w:val="32"/>
          <w:szCs w:val="32"/>
          <w:highlight w:val="none"/>
        </w:rPr>
        <w:br w:type="page"/>
      </w:r>
      <w:r>
        <w:rPr>
          <w:rFonts w:hint="eastAsia" w:eastAsia="宋体"/>
          <w:b/>
          <w:bCs/>
          <w:color w:val="auto"/>
          <w:sz w:val="32"/>
          <w:szCs w:val="32"/>
          <w:highlight w:val="none"/>
          <w:lang w:val="en-US" w:eastAsia="zh-CN"/>
        </w:rPr>
        <w:t>三</w:t>
      </w:r>
      <w:r>
        <w:rPr>
          <w:rFonts w:hint="eastAsia"/>
          <w:b/>
          <w:bCs/>
          <w:color w:val="auto"/>
          <w:sz w:val="32"/>
          <w:szCs w:val="32"/>
          <w:highlight w:val="none"/>
        </w:rPr>
        <w:t>、经济标其他材料</w:t>
      </w:r>
    </w:p>
    <w:p w14:paraId="18955A83">
      <w:pPr>
        <w:rPr>
          <w:color w:val="auto"/>
          <w:highlight w:val="none"/>
        </w:rPr>
      </w:pPr>
    </w:p>
    <w:p w14:paraId="69BD4008">
      <w:pPr>
        <w:spacing w:line="32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注：此处提交招标文件规定</w:t>
      </w:r>
      <w:r>
        <w:rPr>
          <w:rFonts w:hint="eastAsia" w:ascii="Times New Roman" w:hAnsi="Times New Roman"/>
          <w:color w:val="auto"/>
          <w:sz w:val="24"/>
          <w:szCs w:val="24"/>
          <w:highlight w:val="none"/>
        </w:rPr>
        <w:t>的其他材料，以及</w:t>
      </w:r>
      <w:r>
        <w:rPr>
          <w:rFonts w:hint="eastAsia" w:ascii="宋体" w:hAnsi="宋体" w:cs="宋体"/>
          <w:color w:val="auto"/>
          <w:sz w:val="24"/>
          <w:szCs w:val="24"/>
          <w:highlight w:val="none"/>
        </w:rPr>
        <w:t>投标人认为需要提交的其他材料。</w:t>
      </w:r>
    </w:p>
    <w:p w14:paraId="387554EA">
      <w:pPr>
        <w:pageBreakBefore w:val="0"/>
        <w:overflowPunct/>
        <w:bidi w:val="0"/>
        <w:spacing w:before="267" w:line="311" w:lineRule="auto"/>
        <w:ind w:right="0"/>
        <w:rPr>
          <w:rFonts w:ascii="宋体" w:hAnsi="宋体" w:eastAsia="宋体" w:cs="宋体"/>
          <w:color w:val="auto"/>
          <w:spacing w:val="-6"/>
          <w:sz w:val="24"/>
          <w:szCs w:val="24"/>
          <w:highlight w:val="none"/>
        </w:rPr>
      </w:pPr>
    </w:p>
    <w:sectPr>
      <w:headerReference r:id="rId16" w:type="default"/>
      <w:footerReference r:id="rId17" w:type="default"/>
      <w:pgSz w:w="11906" w:h="16839"/>
      <w:pgMar w:top="1417" w:right="1134" w:bottom="1417" w:left="1429" w:header="0" w:footer="682"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9811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152E8">
    <w:pPr>
      <w:spacing w:line="176" w:lineRule="auto"/>
      <w:ind w:left="462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3ECF6">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42A3ECF6">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888E0">
    <w:pPr>
      <w:spacing w:line="173" w:lineRule="auto"/>
      <w:ind w:left="0" w:leftChars="0" w:firstLine="0" w:firstLineChars="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76B282">
                          <w:pPr>
                            <w:pStyle w:val="1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4A76B282">
                    <w:pPr>
                      <w:pStyle w:val="11"/>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00C52">
    <w:pPr>
      <w:spacing w:line="176" w:lineRule="auto"/>
      <w:ind w:left="45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41C9C5">
                          <w:pPr>
                            <w:pStyle w:val="11"/>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3B41C9C5">
                    <w:pPr>
                      <w:pStyle w:val="11"/>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CA0E1">
    <w:pPr>
      <w:spacing w:line="176" w:lineRule="auto"/>
      <w:ind w:left="0" w:leftChars="0" w:firstLine="0" w:firstLineChars="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7C5BB">
                          <w:pPr>
                            <w:pStyle w:val="11"/>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4047C5BB">
                    <w:pPr>
                      <w:pStyle w:val="11"/>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26D4F">
    <w:pPr>
      <w:spacing w:line="176" w:lineRule="auto"/>
      <w:ind w:left="470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B827A">
                          <w:pPr>
                            <w:pStyle w:val="11"/>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02BB827A">
                    <w:pPr>
                      <w:pStyle w:val="11"/>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9DDCB">
    <w:pPr>
      <w:pStyle w:val="11"/>
      <w:rPr>
        <w:rFonts w:hint="default"/>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9" name="文本框 1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A43C3C">
                          <w:pPr>
                            <w:pStyle w:val="11"/>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ZUIEU0AgAAZQ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fUbSgzTKPnp+7fT&#10;j1+nn19JOoREjQszRG4cYmP71rYIH84DDhPztvI6fcGJwA+BjxeBRRsJT5emk+k0h4vDN2yAnz1c&#10;dz7Ed8JqkoyCelSwE5YdbkPsQ4eQlM3YtVSqq6IypCno1ct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WVCBFNAIAAGUEAAAOAAAAAAAAAAEAIAAAAB8BAABkcnMvZTJvRG9jLnhtbFBL&#10;BQYAAAAABgAGAFkBAADFBQAAAAA=&#10;">
              <v:fill on="f" focussize="0,0"/>
              <v:stroke on="f" weight="0.5pt"/>
              <v:imagedata o:title=""/>
              <o:lock v:ext="edit" aspectratio="f"/>
              <v:textbox inset="0mm,0mm,0mm,0mm" style="mso-fit-shape-to-text:t;">
                <w:txbxContent>
                  <w:p w14:paraId="31A43C3C">
                    <w:pPr>
                      <w:pStyle w:val="11"/>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3FD67">
    <w:pPr>
      <w:spacing w:line="176" w:lineRule="auto"/>
      <w:ind w:left="42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0" name="文本框 1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F2882">
                          <w:pPr>
                            <w:pStyle w:val="11"/>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LXu4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y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cte7jICAABlBAAADgAAAAAAAAABACAAAAAfAQAAZHJzL2Uyb0RvYy54bWxQSwUG&#10;AAAAAAYABgBZAQAAwwUAAAAA&#10;">
              <v:fill on="f" focussize="0,0"/>
              <v:stroke on="f" weight="0.5pt"/>
              <v:imagedata o:title=""/>
              <o:lock v:ext="edit" aspectratio="f"/>
              <v:textbox inset="0mm,0mm,0mm,0mm" style="mso-fit-shape-to-text:t;">
                <w:txbxContent>
                  <w:p w14:paraId="4CBF2882">
                    <w:pPr>
                      <w:pStyle w:val="11"/>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A8D7E">
    <w:pPr>
      <w:spacing w:line="176" w:lineRule="auto"/>
      <w:ind w:left="42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1" name="文本框 1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60428C">
                          <w:pPr>
                            <w:pStyle w:val="11"/>
                          </w:pPr>
                          <w:r>
                            <w:fldChar w:fldCharType="begin"/>
                          </w:r>
                          <w:r>
                            <w:instrText xml:space="preserve"> PAGE  \* MERGEFORMAT </w:instrText>
                          </w:r>
                          <w:r>
                            <w:fldChar w:fldCharType="separate"/>
                          </w:r>
                          <w:r>
                            <w:t>174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3wHI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0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nfAcjICAABlBAAADgAAAAAAAAABACAAAAAfAQAAZHJzL2Uyb0RvYy54bWxQSwUG&#10;AAAAAAYABgBZAQAAwwUAAAAA&#10;">
              <v:fill on="f" focussize="0,0"/>
              <v:stroke on="f" weight="0.5pt"/>
              <v:imagedata o:title=""/>
              <o:lock v:ext="edit" aspectratio="f"/>
              <v:textbox inset="0mm,0mm,0mm,0mm" style="mso-fit-shape-to-text:t;">
                <w:txbxContent>
                  <w:p w14:paraId="4060428C">
                    <w:pPr>
                      <w:pStyle w:val="11"/>
                    </w:pPr>
                    <w:r>
                      <w:fldChar w:fldCharType="begin"/>
                    </w:r>
                    <w:r>
                      <w:instrText xml:space="preserve"> PAGE  \* MERGEFORMAT </w:instrText>
                    </w:r>
                    <w:r>
                      <w:fldChar w:fldCharType="separate"/>
                    </w:r>
                    <w:r>
                      <w:t>174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26DCE">
    <w:pPr>
      <w:spacing w:line="176" w:lineRule="auto"/>
      <w:ind w:left="42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2" name="文本框 1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336E83">
                          <w:pPr>
                            <w:pStyle w:val="11"/>
                          </w:pPr>
                          <w:r>
                            <w:fldChar w:fldCharType="begin"/>
                          </w:r>
                          <w:r>
                            <w:instrText xml:space="preserve"> PAGE  \* MERGEFORMAT </w:instrText>
                          </w:r>
                          <w:r>
                            <w:fldChar w:fldCharType="separate"/>
                          </w:r>
                          <w:r>
                            <w:t>212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a1Egw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a1EgwzAgAAZQQAAA4AAAAAAAAAAQAgAAAAHwEAAGRycy9lMm9Eb2MueG1sUEsF&#10;BgAAAAAGAAYAWQEAAMQFAAAAAA==&#10;">
              <v:fill on="f" focussize="0,0"/>
              <v:stroke on="f" weight="0.5pt"/>
              <v:imagedata o:title=""/>
              <o:lock v:ext="edit" aspectratio="f"/>
              <v:textbox inset="0mm,0mm,0mm,0mm" style="mso-fit-shape-to-text:t;">
                <w:txbxContent>
                  <w:p w14:paraId="33336E83">
                    <w:pPr>
                      <w:pStyle w:val="11"/>
                    </w:pPr>
                    <w:r>
                      <w:fldChar w:fldCharType="begin"/>
                    </w:r>
                    <w:r>
                      <w:instrText xml:space="preserve"> PAGE  \* MERGEFORMAT </w:instrText>
                    </w:r>
                    <w:r>
                      <w:fldChar w:fldCharType="separate"/>
                    </w:r>
                    <w:r>
                      <w:t>212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723D7">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9" name="文本框 2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E79CF8">
                          <w:pPr>
                            <w:pStyle w:val="11"/>
                          </w:pPr>
                          <w:r>
                            <w:fldChar w:fldCharType="begin"/>
                          </w:r>
                          <w:r>
                            <w:instrText xml:space="preserve"> PAGE  \* MERGEFORMAT </w:instrText>
                          </w:r>
                          <w:r>
                            <w:fldChar w:fldCharType="separate"/>
                          </w:r>
                          <w:r>
                            <w:t>250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L42Ds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S4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Ng7NAIAAGUEAAAOAAAAAAAAAAEAIAAAAB8BAABkcnMvZTJvRG9jLnhtbFBL&#10;BQYAAAAABgAGAFkBAADFBQAAAAA=&#10;">
              <v:fill on="f" focussize="0,0"/>
              <v:stroke on="f" weight="0.5pt"/>
              <v:imagedata o:title=""/>
              <o:lock v:ext="edit" aspectratio="f"/>
              <v:textbox inset="0mm,0mm,0mm,0mm" style="mso-fit-shape-to-text:t;">
                <w:txbxContent>
                  <w:p w14:paraId="1EE79CF8">
                    <w:pPr>
                      <w:pStyle w:val="11"/>
                    </w:pPr>
                    <w:r>
                      <w:fldChar w:fldCharType="begin"/>
                    </w:r>
                    <w:r>
                      <w:instrText xml:space="preserve"> PAGE  \* MERGEFORMAT </w:instrText>
                    </w:r>
                    <w:r>
                      <w:fldChar w:fldCharType="separate"/>
                    </w:r>
                    <w:r>
                      <w:t>250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C6321">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A4D7">
    <w:pPr>
      <w:pStyle w:val="10"/>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53CB1B"/>
    <w:multiLevelType w:val="singleLevel"/>
    <w:tmpl w:val="7053CB1B"/>
    <w:lvl w:ilvl="0" w:tentative="0">
      <w:start w:val="10"/>
      <w:numFmt w:val="chineseCounting"/>
      <w:suff w:val="space"/>
      <w:lvlText w:val="第%1条"/>
      <w:lvlJc w:val="left"/>
      <w:rPr>
        <w:rFonts w:hint="eastAsia"/>
      </w:rPr>
    </w:lvl>
  </w:abstractNum>
  <w:abstractNum w:abstractNumId="1">
    <w:nsid w:val="784F2263"/>
    <w:multiLevelType w:val="singleLevel"/>
    <w:tmpl w:val="784F2263"/>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1D3519"/>
    <w:rsid w:val="00D36D27"/>
    <w:rsid w:val="00E44028"/>
    <w:rsid w:val="00F907CF"/>
    <w:rsid w:val="00F9432B"/>
    <w:rsid w:val="012716EE"/>
    <w:rsid w:val="01487061"/>
    <w:rsid w:val="014A3A81"/>
    <w:rsid w:val="016F429F"/>
    <w:rsid w:val="01A3088B"/>
    <w:rsid w:val="01AA357A"/>
    <w:rsid w:val="01BD7A4F"/>
    <w:rsid w:val="01D85281"/>
    <w:rsid w:val="01F00509"/>
    <w:rsid w:val="01FB2325"/>
    <w:rsid w:val="020611DB"/>
    <w:rsid w:val="02220517"/>
    <w:rsid w:val="02225B04"/>
    <w:rsid w:val="02281E4B"/>
    <w:rsid w:val="026C71AD"/>
    <w:rsid w:val="027553C9"/>
    <w:rsid w:val="02816CCE"/>
    <w:rsid w:val="028B51FE"/>
    <w:rsid w:val="028E4F47"/>
    <w:rsid w:val="02B56978"/>
    <w:rsid w:val="02B81FC4"/>
    <w:rsid w:val="02C378BB"/>
    <w:rsid w:val="031B6780"/>
    <w:rsid w:val="03276A5C"/>
    <w:rsid w:val="034649C6"/>
    <w:rsid w:val="034877EC"/>
    <w:rsid w:val="038A07DA"/>
    <w:rsid w:val="044C352C"/>
    <w:rsid w:val="04574F90"/>
    <w:rsid w:val="045768E7"/>
    <w:rsid w:val="04877EA0"/>
    <w:rsid w:val="048A42E4"/>
    <w:rsid w:val="049A5E25"/>
    <w:rsid w:val="04B070DD"/>
    <w:rsid w:val="05263B5D"/>
    <w:rsid w:val="05475C9B"/>
    <w:rsid w:val="054D1684"/>
    <w:rsid w:val="054E4D41"/>
    <w:rsid w:val="05580E2D"/>
    <w:rsid w:val="055C3A53"/>
    <w:rsid w:val="05857803"/>
    <w:rsid w:val="059D229C"/>
    <w:rsid w:val="05A90A29"/>
    <w:rsid w:val="05B45CAE"/>
    <w:rsid w:val="05F11A75"/>
    <w:rsid w:val="05F30E63"/>
    <w:rsid w:val="05FF20B9"/>
    <w:rsid w:val="06123614"/>
    <w:rsid w:val="06624721"/>
    <w:rsid w:val="06631588"/>
    <w:rsid w:val="0669683D"/>
    <w:rsid w:val="067C44CB"/>
    <w:rsid w:val="06B12771"/>
    <w:rsid w:val="06E710CA"/>
    <w:rsid w:val="06FF7873"/>
    <w:rsid w:val="074327A4"/>
    <w:rsid w:val="075E334E"/>
    <w:rsid w:val="07753E72"/>
    <w:rsid w:val="077F7DAE"/>
    <w:rsid w:val="07875116"/>
    <w:rsid w:val="079651D1"/>
    <w:rsid w:val="07CB777B"/>
    <w:rsid w:val="080372DA"/>
    <w:rsid w:val="08057A5A"/>
    <w:rsid w:val="081E0182"/>
    <w:rsid w:val="08227D57"/>
    <w:rsid w:val="085602B5"/>
    <w:rsid w:val="086C7AD9"/>
    <w:rsid w:val="08897ECE"/>
    <w:rsid w:val="088C72CA"/>
    <w:rsid w:val="08A95A9C"/>
    <w:rsid w:val="08C36886"/>
    <w:rsid w:val="08D00067"/>
    <w:rsid w:val="08DC2BEB"/>
    <w:rsid w:val="08FC70AE"/>
    <w:rsid w:val="092B1742"/>
    <w:rsid w:val="09583944"/>
    <w:rsid w:val="09664528"/>
    <w:rsid w:val="0970184A"/>
    <w:rsid w:val="09794DC9"/>
    <w:rsid w:val="097F1A8E"/>
    <w:rsid w:val="09853466"/>
    <w:rsid w:val="09C37BCC"/>
    <w:rsid w:val="09FF5BEA"/>
    <w:rsid w:val="0A4800D1"/>
    <w:rsid w:val="0A5B7E05"/>
    <w:rsid w:val="0A82698F"/>
    <w:rsid w:val="0A917539"/>
    <w:rsid w:val="0AAA303D"/>
    <w:rsid w:val="0ABA1FC8"/>
    <w:rsid w:val="0B1836C6"/>
    <w:rsid w:val="0BAD6045"/>
    <w:rsid w:val="0BC937F8"/>
    <w:rsid w:val="0BD514B1"/>
    <w:rsid w:val="0C036DE4"/>
    <w:rsid w:val="0C0E3FB9"/>
    <w:rsid w:val="0C1E2E71"/>
    <w:rsid w:val="0C564D28"/>
    <w:rsid w:val="0C621168"/>
    <w:rsid w:val="0C943C90"/>
    <w:rsid w:val="0CC53C5B"/>
    <w:rsid w:val="0CCE49C7"/>
    <w:rsid w:val="0D275785"/>
    <w:rsid w:val="0D450893"/>
    <w:rsid w:val="0D470D90"/>
    <w:rsid w:val="0D6020AF"/>
    <w:rsid w:val="0D6D057B"/>
    <w:rsid w:val="0D815DD4"/>
    <w:rsid w:val="0D9D564B"/>
    <w:rsid w:val="0DB419C2"/>
    <w:rsid w:val="0DD11147"/>
    <w:rsid w:val="0DD83A3B"/>
    <w:rsid w:val="0DE17D54"/>
    <w:rsid w:val="0E06538F"/>
    <w:rsid w:val="0E417312"/>
    <w:rsid w:val="0E4E5759"/>
    <w:rsid w:val="0E8E0425"/>
    <w:rsid w:val="0E8E54DA"/>
    <w:rsid w:val="0EA5485A"/>
    <w:rsid w:val="0EA800FF"/>
    <w:rsid w:val="0EB360A5"/>
    <w:rsid w:val="0EC662EE"/>
    <w:rsid w:val="0EC75A69"/>
    <w:rsid w:val="0ECB7EDB"/>
    <w:rsid w:val="0F307AB2"/>
    <w:rsid w:val="0F5F3EF3"/>
    <w:rsid w:val="0FBF0E36"/>
    <w:rsid w:val="0FC621C4"/>
    <w:rsid w:val="0FF26B15"/>
    <w:rsid w:val="100C1CBA"/>
    <w:rsid w:val="10134CDE"/>
    <w:rsid w:val="1028084A"/>
    <w:rsid w:val="102858E0"/>
    <w:rsid w:val="10354C54"/>
    <w:rsid w:val="109C4CD3"/>
    <w:rsid w:val="10B027F2"/>
    <w:rsid w:val="10C72BB8"/>
    <w:rsid w:val="10D821AF"/>
    <w:rsid w:val="10E34150"/>
    <w:rsid w:val="10EF574B"/>
    <w:rsid w:val="10FB79ED"/>
    <w:rsid w:val="110E3E23"/>
    <w:rsid w:val="11136D10"/>
    <w:rsid w:val="111B2E27"/>
    <w:rsid w:val="11362F20"/>
    <w:rsid w:val="114325E6"/>
    <w:rsid w:val="115D4462"/>
    <w:rsid w:val="116C1F10"/>
    <w:rsid w:val="11AB23B6"/>
    <w:rsid w:val="11D41B62"/>
    <w:rsid w:val="11E132E5"/>
    <w:rsid w:val="121A2353"/>
    <w:rsid w:val="124A7F90"/>
    <w:rsid w:val="12571FEF"/>
    <w:rsid w:val="12720067"/>
    <w:rsid w:val="127235EA"/>
    <w:rsid w:val="12AE6C92"/>
    <w:rsid w:val="12C30517"/>
    <w:rsid w:val="12D81EA8"/>
    <w:rsid w:val="12FD4B1A"/>
    <w:rsid w:val="12FF0CA7"/>
    <w:rsid w:val="130059ED"/>
    <w:rsid w:val="131E2317"/>
    <w:rsid w:val="134D0507"/>
    <w:rsid w:val="13544459"/>
    <w:rsid w:val="135D2E40"/>
    <w:rsid w:val="138C102F"/>
    <w:rsid w:val="139D148E"/>
    <w:rsid w:val="13CB7DA9"/>
    <w:rsid w:val="13F56BD4"/>
    <w:rsid w:val="14773A8D"/>
    <w:rsid w:val="1489456F"/>
    <w:rsid w:val="149208C7"/>
    <w:rsid w:val="14E65077"/>
    <w:rsid w:val="15242AD3"/>
    <w:rsid w:val="153020D2"/>
    <w:rsid w:val="156C79D3"/>
    <w:rsid w:val="15826B8D"/>
    <w:rsid w:val="158E5532"/>
    <w:rsid w:val="15916AEE"/>
    <w:rsid w:val="15A22C1A"/>
    <w:rsid w:val="15AA79F6"/>
    <w:rsid w:val="15E96C0C"/>
    <w:rsid w:val="15FD1B3C"/>
    <w:rsid w:val="161028AB"/>
    <w:rsid w:val="16411FF7"/>
    <w:rsid w:val="16A44ECE"/>
    <w:rsid w:val="16CB1E6E"/>
    <w:rsid w:val="16F615E1"/>
    <w:rsid w:val="17063153"/>
    <w:rsid w:val="176D168A"/>
    <w:rsid w:val="177779D6"/>
    <w:rsid w:val="17A06CF5"/>
    <w:rsid w:val="17A728DB"/>
    <w:rsid w:val="17C52D61"/>
    <w:rsid w:val="17CD67EB"/>
    <w:rsid w:val="17D974C2"/>
    <w:rsid w:val="17FE5EF9"/>
    <w:rsid w:val="180E54DC"/>
    <w:rsid w:val="182F341E"/>
    <w:rsid w:val="18752F7E"/>
    <w:rsid w:val="18B50A86"/>
    <w:rsid w:val="18DC0363"/>
    <w:rsid w:val="18EE0096"/>
    <w:rsid w:val="18F63219"/>
    <w:rsid w:val="19575C3B"/>
    <w:rsid w:val="19612025"/>
    <w:rsid w:val="198804EA"/>
    <w:rsid w:val="19991CB0"/>
    <w:rsid w:val="19F33BB6"/>
    <w:rsid w:val="19F7019A"/>
    <w:rsid w:val="1A1C7F18"/>
    <w:rsid w:val="1A9B0F84"/>
    <w:rsid w:val="1AA62789"/>
    <w:rsid w:val="1AC6159A"/>
    <w:rsid w:val="1AD67034"/>
    <w:rsid w:val="1AE2533C"/>
    <w:rsid w:val="1AF731C9"/>
    <w:rsid w:val="1B0818E3"/>
    <w:rsid w:val="1B125DB5"/>
    <w:rsid w:val="1B291859"/>
    <w:rsid w:val="1BED2887"/>
    <w:rsid w:val="1C2F10F1"/>
    <w:rsid w:val="1C69756F"/>
    <w:rsid w:val="1C714F71"/>
    <w:rsid w:val="1C7B02A3"/>
    <w:rsid w:val="1CF864FE"/>
    <w:rsid w:val="1D100F23"/>
    <w:rsid w:val="1D232E1A"/>
    <w:rsid w:val="1D3764AF"/>
    <w:rsid w:val="1D7B502E"/>
    <w:rsid w:val="1D9E02DC"/>
    <w:rsid w:val="1DD43CFE"/>
    <w:rsid w:val="1DE62ECC"/>
    <w:rsid w:val="1E036392"/>
    <w:rsid w:val="1E2943BF"/>
    <w:rsid w:val="1E3E73CA"/>
    <w:rsid w:val="1E4F7829"/>
    <w:rsid w:val="1E5B1A4E"/>
    <w:rsid w:val="1EAA2CB1"/>
    <w:rsid w:val="1EB3600A"/>
    <w:rsid w:val="1ECB3936"/>
    <w:rsid w:val="1ECC2C66"/>
    <w:rsid w:val="1F1B7691"/>
    <w:rsid w:val="1F443106"/>
    <w:rsid w:val="1F550E6F"/>
    <w:rsid w:val="1F576995"/>
    <w:rsid w:val="1F7E4C34"/>
    <w:rsid w:val="1FAD2A59"/>
    <w:rsid w:val="1FB578D4"/>
    <w:rsid w:val="203C2091"/>
    <w:rsid w:val="20755B15"/>
    <w:rsid w:val="20803CC9"/>
    <w:rsid w:val="208234C8"/>
    <w:rsid w:val="20A35C0A"/>
    <w:rsid w:val="20B501B7"/>
    <w:rsid w:val="20BE3578"/>
    <w:rsid w:val="20D535D5"/>
    <w:rsid w:val="20DA0A66"/>
    <w:rsid w:val="20E26732"/>
    <w:rsid w:val="20E31E2A"/>
    <w:rsid w:val="20EC40FA"/>
    <w:rsid w:val="21902632"/>
    <w:rsid w:val="21FB172C"/>
    <w:rsid w:val="22194137"/>
    <w:rsid w:val="221E379A"/>
    <w:rsid w:val="221E7FA7"/>
    <w:rsid w:val="22627A44"/>
    <w:rsid w:val="22716FEB"/>
    <w:rsid w:val="22962F1E"/>
    <w:rsid w:val="22B3482A"/>
    <w:rsid w:val="234436D4"/>
    <w:rsid w:val="23582FA0"/>
    <w:rsid w:val="238B1C3A"/>
    <w:rsid w:val="23A643C3"/>
    <w:rsid w:val="23D1409F"/>
    <w:rsid w:val="23DF33FD"/>
    <w:rsid w:val="23F539DE"/>
    <w:rsid w:val="241E3F25"/>
    <w:rsid w:val="24294678"/>
    <w:rsid w:val="243B29A6"/>
    <w:rsid w:val="243C25FD"/>
    <w:rsid w:val="247B4ED4"/>
    <w:rsid w:val="248F530C"/>
    <w:rsid w:val="24A04615"/>
    <w:rsid w:val="24E10F97"/>
    <w:rsid w:val="255C14CA"/>
    <w:rsid w:val="25662520"/>
    <w:rsid w:val="25B40A6C"/>
    <w:rsid w:val="25DC3507"/>
    <w:rsid w:val="25E42F4C"/>
    <w:rsid w:val="26107699"/>
    <w:rsid w:val="2610789E"/>
    <w:rsid w:val="26467763"/>
    <w:rsid w:val="26553787"/>
    <w:rsid w:val="266B1BBF"/>
    <w:rsid w:val="26D7485F"/>
    <w:rsid w:val="26E357AC"/>
    <w:rsid w:val="26F050F2"/>
    <w:rsid w:val="26F471BF"/>
    <w:rsid w:val="27070CA1"/>
    <w:rsid w:val="27147861"/>
    <w:rsid w:val="272F5BD7"/>
    <w:rsid w:val="27514612"/>
    <w:rsid w:val="275A1718"/>
    <w:rsid w:val="27610BA0"/>
    <w:rsid w:val="279A06FF"/>
    <w:rsid w:val="279B2C88"/>
    <w:rsid w:val="279E3DBF"/>
    <w:rsid w:val="27D46A39"/>
    <w:rsid w:val="27FF6A4F"/>
    <w:rsid w:val="28074845"/>
    <w:rsid w:val="28132958"/>
    <w:rsid w:val="282047C7"/>
    <w:rsid w:val="282C51C0"/>
    <w:rsid w:val="28601773"/>
    <w:rsid w:val="287F0D0A"/>
    <w:rsid w:val="28C17575"/>
    <w:rsid w:val="28C214DE"/>
    <w:rsid w:val="2946656C"/>
    <w:rsid w:val="294A57BC"/>
    <w:rsid w:val="298567F4"/>
    <w:rsid w:val="298B0482"/>
    <w:rsid w:val="29B727FF"/>
    <w:rsid w:val="29C54E43"/>
    <w:rsid w:val="29C64C71"/>
    <w:rsid w:val="29E60ED7"/>
    <w:rsid w:val="29F36EA3"/>
    <w:rsid w:val="2A0061B5"/>
    <w:rsid w:val="2A1A518F"/>
    <w:rsid w:val="2A732242"/>
    <w:rsid w:val="2A9F1E3B"/>
    <w:rsid w:val="2AA267C5"/>
    <w:rsid w:val="2AA65D27"/>
    <w:rsid w:val="2ACF0CED"/>
    <w:rsid w:val="2AD4412B"/>
    <w:rsid w:val="2AE530E9"/>
    <w:rsid w:val="2B2D2CA0"/>
    <w:rsid w:val="2B3272FF"/>
    <w:rsid w:val="2B4D4CC6"/>
    <w:rsid w:val="2B5E283B"/>
    <w:rsid w:val="2B852ADC"/>
    <w:rsid w:val="2BBB474F"/>
    <w:rsid w:val="2C1729E8"/>
    <w:rsid w:val="2D5B1D46"/>
    <w:rsid w:val="2D6B68EE"/>
    <w:rsid w:val="2D6C3F53"/>
    <w:rsid w:val="2D8A5593"/>
    <w:rsid w:val="2D8F6E8D"/>
    <w:rsid w:val="2E0A551A"/>
    <w:rsid w:val="2E972EA5"/>
    <w:rsid w:val="2EC15D82"/>
    <w:rsid w:val="2ED578D6"/>
    <w:rsid w:val="2EDA59F1"/>
    <w:rsid w:val="2EE07BB8"/>
    <w:rsid w:val="2F087CAC"/>
    <w:rsid w:val="2F1228D8"/>
    <w:rsid w:val="2F320885"/>
    <w:rsid w:val="2F4B7B98"/>
    <w:rsid w:val="2F631386"/>
    <w:rsid w:val="2F7075FF"/>
    <w:rsid w:val="2F8902C0"/>
    <w:rsid w:val="2FA47C9A"/>
    <w:rsid w:val="2FAC3D7D"/>
    <w:rsid w:val="2FE33356"/>
    <w:rsid w:val="30042381"/>
    <w:rsid w:val="30383415"/>
    <w:rsid w:val="30566085"/>
    <w:rsid w:val="306B04F2"/>
    <w:rsid w:val="306F4DCD"/>
    <w:rsid w:val="30F229C1"/>
    <w:rsid w:val="30FD40AA"/>
    <w:rsid w:val="310B6F5E"/>
    <w:rsid w:val="315D6252"/>
    <w:rsid w:val="31614967"/>
    <w:rsid w:val="317E0FDE"/>
    <w:rsid w:val="318A5C79"/>
    <w:rsid w:val="31D16A7B"/>
    <w:rsid w:val="31E60FC9"/>
    <w:rsid w:val="31EF5B1F"/>
    <w:rsid w:val="31FB075D"/>
    <w:rsid w:val="323808A8"/>
    <w:rsid w:val="32582CF8"/>
    <w:rsid w:val="326D7111"/>
    <w:rsid w:val="328E2276"/>
    <w:rsid w:val="32987598"/>
    <w:rsid w:val="32A7158A"/>
    <w:rsid w:val="32E66EB1"/>
    <w:rsid w:val="32EC7F9D"/>
    <w:rsid w:val="32F83575"/>
    <w:rsid w:val="32FA08CF"/>
    <w:rsid w:val="33463E61"/>
    <w:rsid w:val="335921D0"/>
    <w:rsid w:val="33871DA9"/>
    <w:rsid w:val="33AA1331"/>
    <w:rsid w:val="33B8412C"/>
    <w:rsid w:val="33DB773D"/>
    <w:rsid w:val="34061F87"/>
    <w:rsid w:val="3443693F"/>
    <w:rsid w:val="344A765F"/>
    <w:rsid w:val="344B5D0C"/>
    <w:rsid w:val="347368F5"/>
    <w:rsid w:val="34931DC5"/>
    <w:rsid w:val="34B54432"/>
    <w:rsid w:val="35245113"/>
    <w:rsid w:val="356577F5"/>
    <w:rsid w:val="357D65D2"/>
    <w:rsid w:val="358871FC"/>
    <w:rsid w:val="358E07DF"/>
    <w:rsid w:val="359D3BF3"/>
    <w:rsid w:val="359F0C3E"/>
    <w:rsid w:val="35A61FCC"/>
    <w:rsid w:val="35B75F88"/>
    <w:rsid w:val="35E1455D"/>
    <w:rsid w:val="35EF25D5"/>
    <w:rsid w:val="35F965A0"/>
    <w:rsid w:val="360B2C97"/>
    <w:rsid w:val="361470DA"/>
    <w:rsid w:val="361B02C4"/>
    <w:rsid w:val="362071CB"/>
    <w:rsid w:val="36703696"/>
    <w:rsid w:val="367A71F0"/>
    <w:rsid w:val="3688512D"/>
    <w:rsid w:val="368E6994"/>
    <w:rsid w:val="36AC3612"/>
    <w:rsid w:val="36BD56F1"/>
    <w:rsid w:val="37027C61"/>
    <w:rsid w:val="37102824"/>
    <w:rsid w:val="37240FDC"/>
    <w:rsid w:val="37B24C58"/>
    <w:rsid w:val="37DE5A4E"/>
    <w:rsid w:val="37E47653"/>
    <w:rsid w:val="37F7082A"/>
    <w:rsid w:val="3805122C"/>
    <w:rsid w:val="384C34A0"/>
    <w:rsid w:val="385C4BC4"/>
    <w:rsid w:val="386F2FF4"/>
    <w:rsid w:val="388C5394"/>
    <w:rsid w:val="38B642D4"/>
    <w:rsid w:val="38DE5455"/>
    <w:rsid w:val="38DF7CCF"/>
    <w:rsid w:val="38F40BEB"/>
    <w:rsid w:val="393618B9"/>
    <w:rsid w:val="39751860"/>
    <w:rsid w:val="39754190"/>
    <w:rsid w:val="397C5584"/>
    <w:rsid w:val="399C796E"/>
    <w:rsid w:val="39AD03CF"/>
    <w:rsid w:val="39AD22D8"/>
    <w:rsid w:val="39D33655"/>
    <w:rsid w:val="3A117AC6"/>
    <w:rsid w:val="3A367F70"/>
    <w:rsid w:val="3A464FD8"/>
    <w:rsid w:val="3A6F6FBC"/>
    <w:rsid w:val="3A791A5E"/>
    <w:rsid w:val="3A8C2A1C"/>
    <w:rsid w:val="3A8F302F"/>
    <w:rsid w:val="3AD01360"/>
    <w:rsid w:val="3ADC77AB"/>
    <w:rsid w:val="3B0167AA"/>
    <w:rsid w:val="3B293588"/>
    <w:rsid w:val="3B351059"/>
    <w:rsid w:val="3B9D5AEF"/>
    <w:rsid w:val="3BA527DC"/>
    <w:rsid w:val="3BDF482F"/>
    <w:rsid w:val="3BF845BC"/>
    <w:rsid w:val="3C4A321C"/>
    <w:rsid w:val="3C5F1237"/>
    <w:rsid w:val="3C7076A7"/>
    <w:rsid w:val="3C7E77FF"/>
    <w:rsid w:val="3CA961D2"/>
    <w:rsid w:val="3CAF79B9"/>
    <w:rsid w:val="3CD0040C"/>
    <w:rsid w:val="3CF935E4"/>
    <w:rsid w:val="3D0C0967"/>
    <w:rsid w:val="3D1A1691"/>
    <w:rsid w:val="3D2948A3"/>
    <w:rsid w:val="3D5710CD"/>
    <w:rsid w:val="3D695DB9"/>
    <w:rsid w:val="3D757EE0"/>
    <w:rsid w:val="3DA2556F"/>
    <w:rsid w:val="3DA46DF1"/>
    <w:rsid w:val="3DB02B00"/>
    <w:rsid w:val="3DC7093C"/>
    <w:rsid w:val="3DEC2D3D"/>
    <w:rsid w:val="3DF25B08"/>
    <w:rsid w:val="3E083D5E"/>
    <w:rsid w:val="3E321A6B"/>
    <w:rsid w:val="3E330175"/>
    <w:rsid w:val="3E703177"/>
    <w:rsid w:val="3EA13DEE"/>
    <w:rsid w:val="3EE75BFC"/>
    <w:rsid w:val="3F591BD5"/>
    <w:rsid w:val="3FA3173E"/>
    <w:rsid w:val="3FA372BB"/>
    <w:rsid w:val="3FB157F6"/>
    <w:rsid w:val="3FF12926"/>
    <w:rsid w:val="4028049C"/>
    <w:rsid w:val="40312FCC"/>
    <w:rsid w:val="405F0CDA"/>
    <w:rsid w:val="40A76EE4"/>
    <w:rsid w:val="40FA5268"/>
    <w:rsid w:val="411434DA"/>
    <w:rsid w:val="41154492"/>
    <w:rsid w:val="412C2FD3"/>
    <w:rsid w:val="41402E36"/>
    <w:rsid w:val="4182569C"/>
    <w:rsid w:val="41E9571B"/>
    <w:rsid w:val="421D53C4"/>
    <w:rsid w:val="426108EB"/>
    <w:rsid w:val="42D041A7"/>
    <w:rsid w:val="42EC396E"/>
    <w:rsid w:val="42EC5359"/>
    <w:rsid w:val="42F6139F"/>
    <w:rsid w:val="43396F62"/>
    <w:rsid w:val="433E55F2"/>
    <w:rsid w:val="43701034"/>
    <w:rsid w:val="43860D47"/>
    <w:rsid w:val="4396011C"/>
    <w:rsid w:val="43AF3AD2"/>
    <w:rsid w:val="43C36E89"/>
    <w:rsid w:val="43C57AC2"/>
    <w:rsid w:val="43CC170F"/>
    <w:rsid w:val="43EA2D93"/>
    <w:rsid w:val="43EA7528"/>
    <w:rsid w:val="44122E5C"/>
    <w:rsid w:val="443B6D8D"/>
    <w:rsid w:val="44A228C8"/>
    <w:rsid w:val="44A42557"/>
    <w:rsid w:val="44B143E6"/>
    <w:rsid w:val="44E665E6"/>
    <w:rsid w:val="44ED5522"/>
    <w:rsid w:val="450B1E4C"/>
    <w:rsid w:val="457B2B2E"/>
    <w:rsid w:val="459B7C3D"/>
    <w:rsid w:val="46026DAB"/>
    <w:rsid w:val="4618153B"/>
    <w:rsid w:val="461949DC"/>
    <w:rsid w:val="462B1C6D"/>
    <w:rsid w:val="463B2AB2"/>
    <w:rsid w:val="46431172"/>
    <w:rsid w:val="466574DD"/>
    <w:rsid w:val="46B24B20"/>
    <w:rsid w:val="46B964DE"/>
    <w:rsid w:val="46C027C2"/>
    <w:rsid w:val="46C6602A"/>
    <w:rsid w:val="47046B53"/>
    <w:rsid w:val="47150B68"/>
    <w:rsid w:val="47192306"/>
    <w:rsid w:val="47456C3E"/>
    <w:rsid w:val="47527A52"/>
    <w:rsid w:val="47A619B8"/>
    <w:rsid w:val="47A90442"/>
    <w:rsid w:val="47B10A89"/>
    <w:rsid w:val="47B42227"/>
    <w:rsid w:val="47C10635"/>
    <w:rsid w:val="47D44777"/>
    <w:rsid w:val="48252A32"/>
    <w:rsid w:val="483F42E6"/>
    <w:rsid w:val="48474F49"/>
    <w:rsid w:val="485639BC"/>
    <w:rsid w:val="48605591"/>
    <w:rsid w:val="48987B39"/>
    <w:rsid w:val="4921579A"/>
    <w:rsid w:val="49273FBB"/>
    <w:rsid w:val="496B160A"/>
    <w:rsid w:val="498D30AF"/>
    <w:rsid w:val="49D71EEE"/>
    <w:rsid w:val="4A05330E"/>
    <w:rsid w:val="4A1946C3"/>
    <w:rsid w:val="4A6F789F"/>
    <w:rsid w:val="4A8C30E7"/>
    <w:rsid w:val="4AD73FE7"/>
    <w:rsid w:val="4B3B06EC"/>
    <w:rsid w:val="4B473D5A"/>
    <w:rsid w:val="4B827E62"/>
    <w:rsid w:val="4B83098E"/>
    <w:rsid w:val="4B9519AF"/>
    <w:rsid w:val="4BC114B6"/>
    <w:rsid w:val="4BE60899"/>
    <w:rsid w:val="4BFA7982"/>
    <w:rsid w:val="4BFB6776"/>
    <w:rsid w:val="4C213D03"/>
    <w:rsid w:val="4C237A7B"/>
    <w:rsid w:val="4C891FD4"/>
    <w:rsid w:val="4C916DEC"/>
    <w:rsid w:val="4C9444D5"/>
    <w:rsid w:val="4C9D15DC"/>
    <w:rsid w:val="4CAF55C3"/>
    <w:rsid w:val="4CB23837"/>
    <w:rsid w:val="4CC36E50"/>
    <w:rsid w:val="4CD21140"/>
    <w:rsid w:val="4CFF4CB4"/>
    <w:rsid w:val="4D391A83"/>
    <w:rsid w:val="4D5A127B"/>
    <w:rsid w:val="4D5B6F9F"/>
    <w:rsid w:val="4D736796"/>
    <w:rsid w:val="4D9E1AAF"/>
    <w:rsid w:val="4DA930E5"/>
    <w:rsid w:val="4E121B55"/>
    <w:rsid w:val="4E465CA3"/>
    <w:rsid w:val="4E666CEF"/>
    <w:rsid w:val="4E802F63"/>
    <w:rsid w:val="4E8B3978"/>
    <w:rsid w:val="4E962786"/>
    <w:rsid w:val="4ED71A3F"/>
    <w:rsid w:val="4EDA3738"/>
    <w:rsid w:val="4F2C0224"/>
    <w:rsid w:val="4F4140F1"/>
    <w:rsid w:val="4F5D5052"/>
    <w:rsid w:val="4F97387E"/>
    <w:rsid w:val="4FA827DD"/>
    <w:rsid w:val="4FAF6D9B"/>
    <w:rsid w:val="4FB20253"/>
    <w:rsid w:val="501B3FE3"/>
    <w:rsid w:val="503264DF"/>
    <w:rsid w:val="50526B81"/>
    <w:rsid w:val="505720C2"/>
    <w:rsid w:val="50767153"/>
    <w:rsid w:val="50C11611"/>
    <w:rsid w:val="50D852D8"/>
    <w:rsid w:val="50E024E8"/>
    <w:rsid w:val="50EA6DB9"/>
    <w:rsid w:val="50F24ED4"/>
    <w:rsid w:val="50F96FFC"/>
    <w:rsid w:val="50FB3A85"/>
    <w:rsid w:val="511A213B"/>
    <w:rsid w:val="512A6A83"/>
    <w:rsid w:val="513049C3"/>
    <w:rsid w:val="514E7068"/>
    <w:rsid w:val="518C5431"/>
    <w:rsid w:val="51A23BEF"/>
    <w:rsid w:val="51B74CF4"/>
    <w:rsid w:val="51CF7228"/>
    <w:rsid w:val="51EE02EF"/>
    <w:rsid w:val="523A4164"/>
    <w:rsid w:val="525B55D3"/>
    <w:rsid w:val="526B7CC5"/>
    <w:rsid w:val="52972C9C"/>
    <w:rsid w:val="52AA526C"/>
    <w:rsid w:val="52CA2943"/>
    <w:rsid w:val="52F13DFB"/>
    <w:rsid w:val="5345477B"/>
    <w:rsid w:val="5385101B"/>
    <w:rsid w:val="538C0D0D"/>
    <w:rsid w:val="538E1C7E"/>
    <w:rsid w:val="53E421E6"/>
    <w:rsid w:val="54005B5D"/>
    <w:rsid w:val="545D3FC1"/>
    <w:rsid w:val="54624EB9"/>
    <w:rsid w:val="54664F2D"/>
    <w:rsid w:val="54666E2C"/>
    <w:rsid w:val="546E1AAF"/>
    <w:rsid w:val="54905ECA"/>
    <w:rsid w:val="5503695E"/>
    <w:rsid w:val="551F2ACE"/>
    <w:rsid w:val="55462C59"/>
    <w:rsid w:val="55552713"/>
    <w:rsid w:val="55570796"/>
    <w:rsid w:val="55945DC8"/>
    <w:rsid w:val="559E5792"/>
    <w:rsid w:val="55B4321C"/>
    <w:rsid w:val="55C90C36"/>
    <w:rsid w:val="56032E6C"/>
    <w:rsid w:val="56276B2D"/>
    <w:rsid w:val="564231F4"/>
    <w:rsid w:val="56AD4B11"/>
    <w:rsid w:val="56D171DE"/>
    <w:rsid w:val="56FF6CC8"/>
    <w:rsid w:val="57250B4B"/>
    <w:rsid w:val="57254B07"/>
    <w:rsid w:val="57763155"/>
    <w:rsid w:val="577A0ADC"/>
    <w:rsid w:val="577F2EB9"/>
    <w:rsid w:val="57847330"/>
    <w:rsid w:val="57946EFF"/>
    <w:rsid w:val="579E08FE"/>
    <w:rsid w:val="57CB57BA"/>
    <w:rsid w:val="57E217AF"/>
    <w:rsid w:val="57E741D3"/>
    <w:rsid w:val="58254B7B"/>
    <w:rsid w:val="584B45E2"/>
    <w:rsid w:val="585E3377"/>
    <w:rsid w:val="586E4944"/>
    <w:rsid w:val="58CA7BFC"/>
    <w:rsid w:val="58DC7B4E"/>
    <w:rsid w:val="5905706F"/>
    <w:rsid w:val="592B558E"/>
    <w:rsid w:val="595D68B2"/>
    <w:rsid w:val="598F19AF"/>
    <w:rsid w:val="599B4709"/>
    <w:rsid w:val="599B6EA3"/>
    <w:rsid w:val="599E6E77"/>
    <w:rsid w:val="5A0A3C4C"/>
    <w:rsid w:val="5A1F7AD4"/>
    <w:rsid w:val="5A427419"/>
    <w:rsid w:val="5A7B11AC"/>
    <w:rsid w:val="5A93401E"/>
    <w:rsid w:val="5A9B1124"/>
    <w:rsid w:val="5AA410A1"/>
    <w:rsid w:val="5ABF0775"/>
    <w:rsid w:val="5ADB7D78"/>
    <w:rsid w:val="5AEA6650"/>
    <w:rsid w:val="5AFB5FCC"/>
    <w:rsid w:val="5B2105ED"/>
    <w:rsid w:val="5B5D1208"/>
    <w:rsid w:val="5B772CE5"/>
    <w:rsid w:val="5B957DC7"/>
    <w:rsid w:val="5BA069F2"/>
    <w:rsid w:val="5BD112A2"/>
    <w:rsid w:val="5BF0173F"/>
    <w:rsid w:val="5C2361A0"/>
    <w:rsid w:val="5C4A629D"/>
    <w:rsid w:val="5C531CB7"/>
    <w:rsid w:val="5C7B120D"/>
    <w:rsid w:val="5C9D1C03"/>
    <w:rsid w:val="5C9E1D39"/>
    <w:rsid w:val="5CB564CD"/>
    <w:rsid w:val="5CDA3F26"/>
    <w:rsid w:val="5CDF6766"/>
    <w:rsid w:val="5CE13766"/>
    <w:rsid w:val="5CE82AF2"/>
    <w:rsid w:val="5D165141"/>
    <w:rsid w:val="5D3F46CF"/>
    <w:rsid w:val="5D6E1AE0"/>
    <w:rsid w:val="5D7F6B77"/>
    <w:rsid w:val="5D927A4C"/>
    <w:rsid w:val="5D9C60B5"/>
    <w:rsid w:val="5DA7512A"/>
    <w:rsid w:val="5DD63668"/>
    <w:rsid w:val="5DEF3FEB"/>
    <w:rsid w:val="5E156881"/>
    <w:rsid w:val="5E2A018B"/>
    <w:rsid w:val="5E375863"/>
    <w:rsid w:val="5E68756F"/>
    <w:rsid w:val="5E687AD9"/>
    <w:rsid w:val="5E754B4F"/>
    <w:rsid w:val="5E8C77C2"/>
    <w:rsid w:val="5EB37DFF"/>
    <w:rsid w:val="5ED25F32"/>
    <w:rsid w:val="5EE035AA"/>
    <w:rsid w:val="5F142564"/>
    <w:rsid w:val="5F1D3A44"/>
    <w:rsid w:val="5F382BEE"/>
    <w:rsid w:val="5F405997"/>
    <w:rsid w:val="5F4914FA"/>
    <w:rsid w:val="5F585793"/>
    <w:rsid w:val="5F5F51DD"/>
    <w:rsid w:val="5FD50BDC"/>
    <w:rsid w:val="5FD87D39"/>
    <w:rsid w:val="60423485"/>
    <w:rsid w:val="60447725"/>
    <w:rsid w:val="606C1599"/>
    <w:rsid w:val="60844B35"/>
    <w:rsid w:val="608D150F"/>
    <w:rsid w:val="60A76A75"/>
    <w:rsid w:val="60CE4002"/>
    <w:rsid w:val="60D26F23"/>
    <w:rsid w:val="61084667"/>
    <w:rsid w:val="61151D91"/>
    <w:rsid w:val="611A0FF5"/>
    <w:rsid w:val="61291D37"/>
    <w:rsid w:val="6142054C"/>
    <w:rsid w:val="615B7A2C"/>
    <w:rsid w:val="61647E17"/>
    <w:rsid w:val="618828D2"/>
    <w:rsid w:val="61A70CC0"/>
    <w:rsid w:val="61B431F8"/>
    <w:rsid w:val="61BC6B43"/>
    <w:rsid w:val="61CD3A15"/>
    <w:rsid w:val="61E621E7"/>
    <w:rsid w:val="62143C96"/>
    <w:rsid w:val="62287E82"/>
    <w:rsid w:val="62784B3B"/>
    <w:rsid w:val="6280631B"/>
    <w:rsid w:val="62931B1F"/>
    <w:rsid w:val="62A212A2"/>
    <w:rsid w:val="62BC7E8A"/>
    <w:rsid w:val="62BD60DC"/>
    <w:rsid w:val="62DA6262"/>
    <w:rsid w:val="62DF2BC6"/>
    <w:rsid w:val="62F5337B"/>
    <w:rsid w:val="634379A6"/>
    <w:rsid w:val="634822AC"/>
    <w:rsid w:val="63500CFE"/>
    <w:rsid w:val="6375062A"/>
    <w:rsid w:val="63761A35"/>
    <w:rsid w:val="638D1F52"/>
    <w:rsid w:val="63C4349A"/>
    <w:rsid w:val="63C77D26"/>
    <w:rsid w:val="643B7722"/>
    <w:rsid w:val="645415E8"/>
    <w:rsid w:val="6459376F"/>
    <w:rsid w:val="645B2050"/>
    <w:rsid w:val="646D1D84"/>
    <w:rsid w:val="646D58E0"/>
    <w:rsid w:val="64CA74CF"/>
    <w:rsid w:val="64E71CBB"/>
    <w:rsid w:val="64E90969"/>
    <w:rsid w:val="652F11DA"/>
    <w:rsid w:val="657B64AF"/>
    <w:rsid w:val="65870C23"/>
    <w:rsid w:val="65926B11"/>
    <w:rsid w:val="65B070F4"/>
    <w:rsid w:val="65B10FC2"/>
    <w:rsid w:val="65C34867"/>
    <w:rsid w:val="65C423A3"/>
    <w:rsid w:val="65CD7FF5"/>
    <w:rsid w:val="65E15254"/>
    <w:rsid w:val="65F6278A"/>
    <w:rsid w:val="65FC33BF"/>
    <w:rsid w:val="66056188"/>
    <w:rsid w:val="66373E26"/>
    <w:rsid w:val="665A1E94"/>
    <w:rsid w:val="666E3F72"/>
    <w:rsid w:val="66972842"/>
    <w:rsid w:val="66A51361"/>
    <w:rsid w:val="66A72C8A"/>
    <w:rsid w:val="66EC51E2"/>
    <w:rsid w:val="66F531E4"/>
    <w:rsid w:val="66F619F9"/>
    <w:rsid w:val="66F978FF"/>
    <w:rsid w:val="66FB2159"/>
    <w:rsid w:val="672E545A"/>
    <w:rsid w:val="67685EF2"/>
    <w:rsid w:val="677C095A"/>
    <w:rsid w:val="67DA7730"/>
    <w:rsid w:val="67F569A4"/>
    <w:rsid w:val="6870672A"/>
    <w:rsid w:val="687436E1"/>
    <w:rsid w:val="68E64746"/>
    <w:rsid w:val="68EB3DB7"/>
    <w:rsid w:val="69084381"/>
    <w:rsid w:val="69562DE6"/>
    <w:rsid w:val="695A0B28"/>
    <w:rsid w:val="696150D4"/>
    <w:rsid w:val="6962103E"/>
    <w:rsid w:val="69766341"/>
    <w:rsid w:val="69937B96"/>
    <w:rsid w:val="69A83406"/>
    <w:rsid w:val="69C11A95"/>
    <w:rsid w:val="6A097E59"/>
    <w:rsid w:val="6A2151A2"/>
    <w:rsid w:val="6A3824EC"/>
    <w:rsid w:val="6A4C0656"/>
    <w:rsid w:val="6A4F6E29"/>
    <w:rsid w:val="6A84471E"/>
    <w:rsid w:val="6A992E43"/>
    <w:rsid w:val="6AA12D5C"/>
    <w:rsid w:val="6AAA31C7"/>
    <w:rsid w:val="6ABC311D"/>
    <w:rsid w:val="6ACC3B31"/>
    <w:rsid w:val="6B005CDC"/>
    <w:rsid w:val="6B044C40"/>
    <w:rsid w:val="6B1A45E2"/>
    <w:rsid w:val="6B2C2051"/>
    <w:rsid w:val="6B3322F6"/>
    <w:rsid w:val="6B930322"/>
    <w:rsid w:val="6B9D4F6E"/>
    <w:rsid w:val="6BA02148"/>
    <w:rsid w:val="6BD2243F"/>
    <w:rsid w:val="6BFB5EC7"/>
    <w:rsid w:val="6C002468"/>
    <w:rsid w:val="6C335374"/>
    <w:rsid w:val="6C586E75"/>
    <w:rsid w:val="6C993083"/>
    <w:rsid w:val="6C996570"/>
    <w:rsid w:val="6CB71DEE"/>
    <w:rsid w:val="6CDE737B"/>
    <w:rsid w:val="6D2A25C0"/>
    <w:rsid w:val="6D2E3C00"/>
    <w:rsid w:val="6D4B3E9A"/>
    <w:rsid w:val="6DB85E1E"/>
    <w:rsid w:val="6DC14B52"/>
    <w:rsid w:val="6DCA7C4A"/>
    <w:rsid w:val="6DE035C6"/>
    <w:rsid w:val="6E0C7F17"/>
    <w:rsid w:val="6E192634"/>
    <w:rsid w:val="6E1F649C"/>
    <w:rsid w:val="6E6B35B8"/>
    <w:rsid w:val="6E7E30C2"/>
    <w:rsid w:val="6E8F3709"/>
    <w:rsid w:val="6ED963DF"/>
    <w:rsid w:val="6EDD18B4"/>
    <w:rsid w:val="6F173698"/>
    <w:rsid w:val="6F332D93"/>
    <w:rsid w:val="6F35524C"/>
    <w:rsid w:val="6F3F0AB9"/>
    <w:rsid w:val="6F4F172A"/>
    <w:rsid w:val="6F6E713D"/>
    <w:rsid w:val="6F983DC8"/>
    <w:rsid w:val="6FB40867"/>
    <w:rsid w:val="6FC41D71"/>
    <w:rsid w:val="70031127"/>
    <w:rsid w:val="70115CB9"/>
    <w:rsid w:val="701305B1"/>
    <w:rsid w:val="703E4E67"/>
    <w:rsid w:val="703F57DB"/>
    <w:rsid w:val="70585696"/>
    <w:rsid w:val="70664CBA"/>
    <w:rsid w:val="70940989"/>
    <w:rsid w:val="70D07C0D"/>
    <w:rsid w:val="70D54F38"/>
    <w:rsid w:val="71037071"/>
    <w:rsid w:val="710B08C0"/>
    <w:rsid w:val="715733AB"/>
    <w:rsid w:val="716562BC"/>
    <w:rsid w:val="71750972"/>
    <w:rsid w:val="719A3A8C"/>
    <w:rsid w:val="71BA3885"/>
    <w:rsid w:val="721A2B99"/>
    <w:rsid w:val="72363282"/>
    <w:rsid w:val="729B1A50"/>
    <w:rsid w:val="72DA258D"/>
    <w:rsid w:val="72DB7E13"/>
    <w:rsid w:val="72F86411"/>
    <w:rsid w:val="730F3BC4"/>
    <w:rsid w:val="732B52E4"/>
    <w:rsid w:val="732E0930"/>
    <w:rsid w:val="7350311B"/>
    <w:rsid w:val="73561597"/>
    <w:rsid w:val="7382483C"/>
    <w:rsid w:val="73AD7090"/>
    <w:rsid w:val="73CA3E44"/>
    <w:rsid w:val="73F2195D"/>
    <w:rsid w:val="73F676A0"/>
    <w:rsid w:val="740722AB"/>
    <w:rsid w:val="745368A0"/>
    <w:rsid w:val="74620891"/>
    <w:rsid w:val="74737737"/>
    <w:rsid w:val="747E1443"/>
    <w:rsid w:val="748066ED"/>
    <w:rsid w:val="74843349"/>
    <w:rsid w:val="748C250E"/>
    <w:rsid w:val="74920838"/>
    <w:rsid w:val="7494275B"/>
    <w:rsid w:val="74B530B7"/>
    <w:rsid w:val="74BE59C8"/>
    <w:rsid w:val="74E25EC5"/>
    <w:rsid w:val="75104791"/>
    <w:rsid w:val="7521699E"/>
    <w:rsid w:val="75483F2B"/>
    <w:rsid w:val="757F483E"/>
    <w:rsid w:val="758B02BC"/>
    <w:rsid w:val="761A00E9"/>
    <w:rsid w:val="76354CBA"/>
    <w:rsid w:val="766A1C7F"/>
    <w:rsid w:val="769E73E4"/>
    <w:rsid w:val="76B31503"/>
    <w:rsid w:val="77091498"/>
    <w:rsid w:val="770B16B4"/>
    <w:rsid w:val="771563FB"/>
    <w:rsid w:val="77476464"/>
    <w:rsid w:val="776C2CCA"/>
    <w:rsid w:val="77B6712A"/>
    <w:rsid w:val="77CD4BBB"/>
    <w:rsid w:val="77D53A70"/>
    <w:rsid w:val="77FB0EDA"/>
    <w:rsid w:val="78241686"/>
    <w:rsid w:val="7826607A"/>
    <w:rsid w:val="78295334"/>
    <w:rsid w:val="78756096"/>
    <w:rsid w:val="78856295"/>
    <w:rsid w:val="788B412F"/>
    <w:rsid w:val="789667E7"/>
    <w:rsid w:val="78D94DF6"/>
    <w:rsid w:val="78EE2C5A"/>
    <w:rsid w:val="78FF6AB1"/>
    <w:rsid w:val="7913293E"/>
    <w:rsid w:val="79386543"/>
    <w:rsid w:val="79986B03"/>
    <w:rsid w:val="79D20267"/>
    <w:rsid w:val="7A252394"/>
    <w:rsid w:val="7A3758D0"/>
    <w:rsid w:val="7A6215E3"/>
    <w:rsid w:val="7A777060"/>
    <w:rsid w:val="7A7E71CA"/>
    <w:rsid w:val="7A947424"/>
    <w:rsid w:val="7AB34514"/>
    <w:rsid w:val="7ADD5F1E"/>
    <w:rsid w:val="7B8C6B3B"/>
    <w:rsid w:val="7BB04F1F"/>
    <w:rsid w:val="7BB8348D"/>
    <w:rsid w:val="7BBE3EEC"/>
    <w:rsid w:val="7BE73D72"/>
    <w:rsid w:val="7BFD18D7"/>
    <w:rsid w:val="7C1F0080"/>
    <w:rsid w:val="7C350056"/>
    <w:rsid w:val="7C8C4B5A"/>
    <w:rsid w:val="7CB56364"/>
    <w:rsid w:val="7CC55D37"/>
    <w:rsid w:val="7CF3550E"/>
    <w:rsid w:val="7CFD4EA3"/>
    <w:rsid w:val="7D136C2C"/>
    <w:rsid w:val="7D6C5A32"/>
    <w:rsid w:val="7D6E726A"/>
    <w:rsid w:val="7D7E4647"/>
    <w:rsid w:val="7D8164CE"/>
    <w:rsid w:val="7D9B3066"/>
    <w:rsid w:val="7DA97531"/>
    <w:rsid w:val="7DC0325A"/>
    <w:rsid w:val="7DCA72C5"/>
    <w:rsid w:val="7DD16A88"/>
    <w:rsid w:val="7EDD2759"/>
    <w:rsid w:val="7EF944E8"/>
    <w:rsid w:val="7F0F1615"/>
    <w:rsid w:val="7F220DA3"/>
    <w:rsid w:val="7F280929"/>
    <w:rsid w:val="7F511C2E"/>
    <w:rsid w:val="7F593049"/>
    <w:rsid w:val="7F62317C"/>
    <w:rsid w:val="7F7D5010"/>
    <w:rsid w:val="7F930498"/>
    <w:rsid w:val="7FBE4DEA"/>
    <w:rsid w:val="7FD05249"/>
    <w:rsid w:val="7FD823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4">
    <w:name w:val="heading 1"/>
    <w:basedOn w:val="1"/>
    <w:next w:val="1"/>
    <w:qFormat/>
    <w:uiPriority w:val="0"/>
    <w:pPr>
      <w:keepNext/>
      <w:keepLines/>
      <w:spacing w:line="578" w:lineRule="auto"/>
      <w:jc w:val="center"/>
      <w:outlineLvl w:val="0"/>
    </w:pPr>
    <w:rPr>
      <w:rFonts w:ascii="Times New Roman" w:hAnsi="Times New Roman" w:eastAsia="黑体"/>
      <w:b/>
      <w:bCs/>
      <w:kern w:val="32"/>
      <w:sz w:val="28"/>
      <w:szCs w:val="44"/>
    </w:rPr>
  </w:style>
  <w:style w:type="paragraph" w:styleId="5">
    <w:name w:val="heading 2"/>
    <w:basedOn w:val="1"/>
    <w:next w:val="1"/>
    <w:qFormat/>
    <w:uiPriority w:val="0"/>
    <w:pPr>
      <w:keepNext/>
      <w:keepLines/>
      <w:spacing w:line="416" w:lineRule="auto"/>
      <w:outlineLvl w:val="1"/>
    </w:pPr>
    <w:rPr>
      <w:rFonts w:ascii="Cambria" w:hAnsi="Cambria" w:eastAsia="宋体" w:cs="Times New Roman"/>
      <w:b/>
      <w:bCs/>
      <w:kern w:val="2"/>
      <w:sz w:val="32"/>
      <w:szCs w:val="32"/>
    </w:rPr>
  </w:style>
  <w:style w:type="paragraph" w:styleId="6">
    <w:name w:val="heading 3"/>
    <w:basedOn w:val="1"/>
    <w:next w:val="1"/>
    <w:qFormat/>
    <w:uiPriority w:val="0"/>
    <w:pPr>
      <w:keepNext/>
      <w:keepLines/>
      <w:spacing w:line="416" w:lineRule="auto"/>
      <w:outlineLvl w:val="2"/>
    </w:pPr>
    <w:rPr>
      <w:b/>
      <w:bCs/>
      <w:kern w:val="2"/>
      <w:sz w:val="32"/>
      <w:szCs w:val="32"/>
    </w:rPr>
  </w:style>
  <w:style w:type="paragraph" w:styleId="7">
    <w:name w:val="heading 4"/>
    <w:basedOn w:val="1"/>
    <w:next w:val="1"/>
    <w:qFormat/>
    <w:uiPriority w:val="0"/>
    <w:pPr>
      <w:keepNext/>
      <w:keepLines/>
      <w:spacing w:line="376" w:lineRule="auto"/>
      <w:outlineLvl w:val="3"/>
    </w:pPr>
    <w:rPr>
      <w:rFonts w:ascii="Cambria" w:hAnsi="Cambria" w:eastAsia="宋体" w:cs="Times New Roman"/>
      <w:b/>
      <w:bCs/>
      <w:kern w:val="2"/>
      <w:sz w:val="28"/>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rPr>
      <w:rFonts w:ascii="Cambria" w:hAnsi="Cambria"/>
      <w:b/>
      <w:bCs/>
      <w:kern w:val="28"/>
      <w:sz w:val="32"/>
      <w:szCs w:val="32"/>
    </w:rPr>
  </w:style>
  <w:style w:type="paragraph" w:styleId="3">
    <w:name w:val="index 8"/>
    <w:basedOn w:val="1"/>
    <w:next w:val="1"/>
    <w:qFormat/>
    <w:uiPriority w:val="99"/>
    <w:pPr>
      <w:snapToGrid w:val="0"/>
      <w:jc w:val="center"/>
    </w:pPr>
    <w:rPr>
      <w:rFonts w:ascii="宋体"/>
      <w:color w:val="FF0000"/>
      <w:szCs w:val="21"/>
    </w:rPr>
  </w:style>
  <w:style w:type="paragraph" w:styleId="8">
    <w:name w:val="Normal Indent"/>
    <w:basedOn w:val="1"/>
    <w:qFormat/>
    <w:uiPriority w:val="0"/>
    <w:pPr>
      <w:ind w:firstLine="420" w:firstLineChars="200"/>
    </w:pPr>
  </w:style>
  <w:style w:type="paragraph" w:styleId="9">
    <w:name w:val="annotation text"/>
    <w:basedOn w:val="1"/>
    <w:qFormat/>
    <w:uiPriority w:val="0"/>
    <w:pPr>
      <w:jc w:val="left"/>
    </w:pPr>
  </w:style>
  <w:style w:type="paragraph" w:styleId="10">
    <w:name w:val="Body Text"/>
    <w:basedOn w:val="1"/>
    <w:qFormat/>
    <w:uiPriority w:val="0"/>
    <w:rPr>
      <w:rFonts w:ascii="Arial" w:hAnsi="Arial" w:eastAsia="Arial" w:cs="Arial"/>
      <w:sz w:val="21"/>
      <w:szCs w:val="21"/>
      <w:lang w:val="en-US" w:eastAsia="en-US" w:bidi="ar-SA"/>
    </w:rPr>
  </w:style>
  <w:style w:type="paragraph" w:styleId="11">
    <w:name w:val="footer"/>
    <w:basedOn w:val="1"/>
    <w:qFormat/>
    <w:uiPriority w:val="0"/>
    <w:pPr>
      <w:tabs>
        <w:tab w:val="center" w:pos="4153"/>
        <w:tab w:val="right" w:pos="8306"/>
      </w:tabs>
      <w:snapToGrid w:val="0"/>
      <w:jc w:val="left"/>
    </w:pPr>
    <w:rPr>
      <w:kern w:val="2"/>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10"/>
    <w:qFormat/>
    <w:uiPriority w:val="0"/>
    <w:pPr>
      <w:ind w:firstLine="420" w:firstLineChars="1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宋体" w:hAnsi="宋体" w:eastAsia="宋体" w:cs="宋体"/>
      <w:sz w:val="20"/>
      <w:szCs w:val="20"/>
      <w:lang w:val="en-US" w:eastAsia="en-US" w:bidi="ar-SA"/>
    </w:rPr>
  </w:style>
  <w:style w:type="paragraph" w:customStyle="1" w:styleId="23">
    <w:name w:val="p0"/>
    <w:basedOn w:val="1"/>
    <w:qFormat/>
    <w:uiPriority w:val="0"/>
    <w:pPr>
      <w:widowControl/>
    </w:pPr>
    <w:rPr>
      <w:kern w:val="0"/>
      <w:szCs w:val="21"/>
    </w:rPr>
  </w:style>
  <w:style w:type="paragraph" w:customStyle="1" w:styleId="24">
    <w:name w:val="正文_6"/>
    <w:basedOn w:val="25"/>
    <w:link w:val="32"/>
    <w:qFormat/>
    <w:uiPriority w:val="0"/>
    <w:pPr>
      <w:widowControl w:val="0"/>
      <w:jc w:val="both"/>
    </w:pPr>
    <w:rPr>
      <w:rFonts w:ascii="Calibri" w:hAnsi="Calibri"/>
      <w:kern w:val="2"/>
      <w:sz w:val="21"/>
      <w:szCs w:val="22"/>
      <w:lang w:val="en-US" w:eastAsia="zh-CN" w:bidi="ar-SA"/>
    </w:rPr>
  </w:style>
  <w:style w:type="paragraph" w:customStyle="1" w:styleId="25">
    <w:name w:val="正文_7"/>
    <w:next w:val="26"/>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
    <w:name w:val="纯文本_5"/>
    <w:basedOn w:val="27"/>
    <w:qFormat/>
    <w:uiPriority w:val="0"/>
    <w:rPr>
      <w:rFonts w:ascii="Cambria" w:hAnsi="Cambria"/>
      <w:b/>
      <w:bCs/>
      <w:kern w:val="28"/>
      <w:sz w:val="32"/>
      <w:szCs w:val="32"/>
    </w:rPr>
  </w:style>
  <w:style w:type="paragraph" w:customStyle="1" w:styleId="27">
    <w:name w:val="正文_8"/>
    <w:basedOn w:val="28"/>
    <w:next w:val="26"/>
    <w:link w:val="31"/>
    <w:qFormat/>
    <w:uiPriority w:val="0"/>
  </w:style>
  <w:style w:type="paragraph" w:customStyle="1" w:styleId="28">
    <w:name w:val="正文_6_0"/>
    <w:basedOn w:val="24"/>
    <w:next w:val="29"/>
    <w:qFormat/>
    <w:uiPriority w:val="0"/>
    <w:rPr>
      <w:rFonts w:cs="宋体"/>
      <w:szCs w:val="21"/>
    </w:rPr>
  </w:style>
  <w:style w:type="paragraph" w:customStyle="1" w:styleId="29">
    <w:name w:val="标题 3_1"/>
    <w:basedOn w:val="30"/>
    <w:next w:val="28"/>
    <w:unhideWhenUsed/>
    <w:qFormat/>
    <w:uiPriority w:val="9"/>
    <w:pPr>
      <w:keepNext/>
      <w:keepLines/>
      <w:spacing w:before="260" w:after="260" w:line="416" w:lineRule="auto"/>
      <w:outlineLvl w:val="2"/>
    </w:pPr>
    <w:rPr>
      <w:rFonts w:ascii="Calibri" w:hAnsi="Calibri" w:eastAsia="宋体"/>
      <w:b/>
      <w:bCs/>
      <w:sz w:val="32"/>
      <w:szCs w:val="32"/>
    </w:rPr>
  </w:style>
  <w:style w:type="paragraph" w:customStyle="1" w:styleId="30">
    <w:name w:val="正文_7_0"/>
    <w:basedOn w:val="27"/>
    <w:qFormat/>
    <w:uiPriority w:val="0"/>
    <w:rPr>
      <w:rFonts w:ascii="等线" w:hAnsi="等线" w:eastAsia="等线" w:cs="Times New Roman"/>
      <w:szCs w:val="22"/>
    </w:rPr>
  </w:style>
  <w:style w:type="character" w:customStyle="1" w:styleId="31">
    <w:name w:val="正文_8 Char"/>
    <w:link w:val="27"/>
    <w:qFormat/>
    <w:uiPriority w:val="0"/>
  </w:style>
  <w:style w:type="character" w:customStyle="1" w:styleId="32">
    <w:name w:val="正文_6 Char"/>
    <w:link w:val="24"/>
    <w:qFormat/>
    <w:uiPriority w:val="0"/>
    <w:rPr>
      <w:rFonts w:ascii="Calibri" w:hAnsi="Calibri"/>
      <w:kern w:val="2"/>
      <w:sz w:val="21"/>
      <w:szCs w:val="22"/>
      <w:lang w:val="en-US" w:eastAsia="zh-CN" w:bidi="ar-SA"/>
    </w:rPr>
  </w:style>
  <w:style w:type="paragraph" w:customStyle="1" w:styleId="33">
    <w:name w:val="正文_14_0"/>
    <w:basedOn w:val="34"/>
    <w:qFormat/>
    <w:uiPriority w:val="0"/>
    <w:rPr>
      <w:rFonts w:ascii="Calibri" w:hAnsi="Calibri" w:cs="Calibri"/>
      <w:szCs w:val="21"/>
    </w:rPr>
  </w:style>
  <w:style w:type="paragraph" w:customStyle="1" w:styleId="34">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样式 标题 3 + (中文) 黑体 小四 非加粗 段前: 7.8 磅 段后: 0 磅 行距: 固定值 20 磅"/>
    <w:basedOn w:val="6"/>
    <w:qFormat/>
    <w:uiPriority w:val="0"/>
    <w:pPr>
      <w:spacing w:before="0" w:beforeLines="0" w:after="0" w:afterLines="0" w:line="400" w:lineRule="exact"/>
    </w:pPr>
    <w:rPr>
      <w:rFonts w:eastAsia="黑体" w:cs="宋体"/>
      <w:b w:val="0"/>
      <w:bCs w:val="0"/>
      <w:sz w:val="24"/>
      <w:szCs w:val="20"/>
    </w:rPr>
  </w:style>
  <w:style w:type="paragraph" w:customStyle="1" w:styleId="36">
    <w:name w:val="样式 标题 2 + Times New Roman 四号 非加粗 段前: 5 磅 段后: 0 磅 行距: 固定值 20..."/>
    <w:basedOn w:val="5"/>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37">
    <w:name w:val="表格文字"/>
    <w:basedOn w:val="1"/>
    <w:qFormat/>
    <w:uiPriority w:val="0"/>
    <w:pPr>
      <w:adjustRightInd w:val="0"/>
      <w:spacing w:line="420" w:lineRule="atLeast"/>
      <w:jc w:val="left"/>
      <w:textAlignment w:val="baseline"/>
    </w:pPr>
    <w:rPr>
      <w:kern w:val="0"/>
      <w:szCs w:val="20"/>
    </w:rPr>
  </w:style>
  <w:style w:type="character" w:customStyle="1" w:styleId="38">
    <w:name w:val="apple-style-span"/>
    <w:qFormat/>
    <w:uiPriority w:val="0"/>
  </w:style>
  <w:style w:type="character" w:customStyle="1" w:styleId="39">
    <w:name w:val="apple-converted-space"/>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theme" Target="theme/theme1.xml"/><Relationship Id="rId17" Type="http://schemas.openxmlformats.org/officeDocument/2006/relationships/footer" Target="footer11.xml"/><Relationship Id="rId16" Type="http://schemas.openxmlformats.org/officeDocument/2006/relationships/header" Target="header2.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77</Pages>
  <Words>5211</Words>
  <Characters>5685</Characters>
  <TotalTime>1</TotalTime>
  <ScaleCrop>false</ScaleCrop>
  <LinksUpToDate>false</LinksUpToDate>
  <CharactersWithSpaces>5818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2024-12-24T15:21:00Z</dcterms:created>
  <dc:creator>nice</dc:creator>
  <cp:lastModifiedBy>sszx</cp:lastModifiedBy>
  <dcterms:modified xsi:type="dcterms:W3CDTF">2026-09-21T08:40:52Z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2026-05-17T12:04:04Z</vt:filetime>
  </property>
  <property fmtid="{D5CDD505-2E9C-101B-9397-08002B2CF9AE}" pid="4" name="KSOTemplateDocerSaveRecord">
    <vt:lpwstr>eyJoZGlkIjoiOWQ2YjNjNjhlYjcyMzBmZjc4NTQwOGRmOWIzYmVhN2MiLCJ1c2VySWQiOiI3MTEwNTc0MTQifQ==</vt:lpwstr>
  </property>
  <property fmtid="{D5CDD505-2E9C-101B-9397-08002B2CF9AE}" pid="5" name="KSOProductBuildVer">
    <vt:lpwstr>2052-12.1.0.28505</vt:lpwstr>
  </property>
  <property fmtid="{D5CDD505-2E9C-101B-9397-08002B2CF9AE}" pid="6" name="ICV">
    <vt:lpwstr>C8A72B51EA50455C993225D0DE89B334_12</vt:lpwstr>
  </property>
</Properties>
</file>