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spacing w:line="560" w:lineRule="exact"/>
        <w:ind w:firstLine="0" w:firstLineChars="0"/>
        <w:jc w:val="cente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佛山市顺博城市发展有限公司</w:t>
      </w:r>
    </w:p>
    <w:p>
      <w:pPr>
        <w:pStyle w:val="5"/>
        <w:shd w:val="clear"/>
        <w:spacing w:line="560" w:lineRule="exact"/>
        <w:ind w:firstLine="0" w:firstLineChars="0"/>
        <w:jc w:val="cente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顺德区绿色低碳建材项目海砂原材料</w:t>
      </w:r>
    </w:p>
    <w:p>
      <w:pPr>
        <w:pStyle w:val="5"/>
        <w:shd w:val="clear"/>
        <w:spacing w:line="560" w:lineRule="exact"/>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供应商招募项目（第二次）</w:t>
      </w:r>
    </w:p>
    <w:p>
      <w:pPr>
        <w:pStyle w:val="5"/>
        <w:shd w:val="clear"/>
        <w:spacing w:line="560" w:lineRule="exact"/>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b/>
          <w:color w:val="000000" w:themeColor="text1"/>
          <w:sz w:val="44"/>
          <w:szCs w:val="44"/>
          <w:highlight w:val="none"/>
          <w14:textFill>
            <w14:solidFill>
              <w14:schemeClr w14:val="tx1"/>
            </w14:solidFill>
          </w14:textFill>
        </w:rPr>
      </w:pPr>
      <w:r>
        <w:rPr>
          <w:rFonts w:hint="eastAsia" w:ascii="仿宋" w:hAnsi="仿宋" w:eastAsia="仿宋" w:cs="仿宋"/>
          <w:b/>
          <w:color w:val="000000" w:themeColor="text1"/>
          <w:sz w:val="44"/>
          <w:szCs w:val="44"/>
          <w:highlight w:val="none"/>
          <w14:textFill>
            <w14:solidFill>
              <w14:schemeClr w14:val="tx1"/>
            </w14:solidFill>
          </w14:textFill>
        </w:rPr>
        <w:t>公开</w:t>
      </w:r>
      <w:r>
        <w:rPr>
          <w:rFonts w:hint="eastAsia" w:ascii="仿宋" w:hAnsi="仿宋" w:eastAsia="仿宋" w:cs="仿宋"/>
          <w:b/>
          <w:color w:val="000000" w:themeColor="text1"/>
          <w:sz w:val="44"/>
          <w:szCs w:val="44"/>
          <w:highlight w:val="none"/>
          <w:lang w:val="en-US" w:eastAsia="zh-CN"/>
          <w14:textFill>
            <w14:solidFill>
              <w14:schemeClr w14:val="tx1"/>
            </w14:solidFill>
          </w14:textFill>
        </w:rPr>
        <w:t>招募</w:t>
      </w:r>
      <w:r>
        <w:rPr>
          <w:rFonts w:hint="eastAsia" w:ascii="仿宋" w:hAnsi="仿宋" w:eastAsia="仿宋" w:cs="仿宋"/>
          <w:b/>
          <w:color w:val="000000" w:themeColor="text1"/>
          <w:sz w:val="44"/>
          <w:szCs w:val="44"/>
          <w:highlight w:val="none"/>
          <w14:textFill>
            <w14:solidFill>
              <w14:schemeClr w14:val="tx1"/>
            </w14:solidFill>
          </w14:textFill>
        </w:rPr>
        <w:t>文件</w:t>
      </w:r>
    </w:p>
    <w:p>
      <w:pPr>
        <w:pStyle w:val="5"/>
        <w:shd w:val="clear"/>
        <w:spacing w:line="560" w:lineRule="exact"/>
        <w:ind w:firstLine="0" w:firstLineChars="0"/>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r>
        <w:rPr>
          <w:rFonts w:hint="eastAsia" w:ascii="仿宋" w:hAnsi="仿宋" w:eastAsia="仿宋" w:cs="仿宋"/>
          <w:b/>
          <w:color w:val="000000" w:themeColor="text1"/>
          <w:sz w:val="44"/>
          <w:szCs w:val="44"/>
          <w:highlight w:val="none"/>
          <w:lang w:eastAsia="zh-CN"/>
          <w14:textFill>
            <w14:solidFill>
              <w14:schemeClr w14:val="tx1"/>
            </w14:solidFill>
          </w14:textFill>
        </w:rPr>
        <w:t>（资格后审）</w:t>
      </w:r>
    </w:p>
    <w:p>
      <w:pPr>
        <w:pStyle w:val="5"/>
        <w:shd w:val="clear"/>
        <w:spacing w:line="560" w:lineRule="exact"/>
        <w:ind w:firstLine="0" w:firstLineChars="0"/>
        <w:jc w:val="both"/>
        <w:rPr>
          <w:rFonts w:hint="eastAsia" w:ascii="仿宋" w:hAnsi="仿宋" w:eastAsia="仿宋" w:cs="仿宋"/>
          <w:color w:val="000000" w:themeColor="text1"/>
          <w:sz w:val="44"/>
          <w:szCs w:val="4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44"/>
          <w:szCs w:val="4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color w:val="000000" w:themeColor="text1"/>
          <w:sz w:val="32"/>
          <w:szCs w:val="32"/>
          <w:highlight w:val="none"/>
          <w14:textFill>
            <w14:solidFill>
              <w14:schemeClr w14:val="tx1"/>
            </w14:solidFill>
          </w14:textFill>
        </w:rPr>
      </w:pPr>
    </w:p>
    <w:p>
      <w:pPr>
        <w:pStyle w:val="5"/>
        <w:shd w:val="clear"/>
        <w:spacing w:line="560" w:lineRule="exact"/>
        <w:ind w:firstLine="0" w:firstLineChars="0"/>
        <w:jc w:val="center"/>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佛山市</w:t>
      </w:r>
      <w:r>
        <w:rPr>
          <w:rFonts w:hint="eastAsia" w:ascii="仿宋" w:hAnsi="仿宋" w:eastAsia="仿宋" w:cs="仿宋"/>
          <w:color w:val="000000" w:themeColor="text1"/>
          <w:sz w:val="32"/>
          <w:szCs w:val="32"/>
          <w:highlight w:val="none"/>
          <w:lang w:val="en-US" w:eastAsia="zh-CN"/>
          <w14:textFill>
            <w14:solidFill>
              <w14:schemeClr w14:val="tx1"/>
            </w14:solidFill>
          </w14:textFill>
        </w:rPr>
        <w:t>顺博城市发展</w:t>
      </w:r>
      <w:r>
        <w:rPr>
          <w:rFonts w:hint="eastAsia" w:ascii="仿宋" w:hAnsi="仿宋" w:eastAsia="仿宋" w:cs="仿宋"/>
          <w:color w:val="000000" w:themeColor="text1"/>
          <w:sz w:val="32"/>
          <w:szCs w:val="32"/>
          <w:highlight w:val="none"/>
          <w14:textFill>
            <w14:solidFill>
              <w14:schemeClr w14:val="tx1"/>
            </w14:solidFill>
          </w14:textFill>
        </w:rPr>
        <w:t>有限公司</w:t>
      </w:r>
    </w:p>
    <w:p>
      <w:pPr>
        <w:pStyle w:val="5"/>
        <w:shd w:val="clear"/>
        <w:spacing w:line="560" w:lineRule="exact"/>
        <w:ind w:firstLine="0" w:firstLineChars="0"/>
        <w:jc w:val="center"/>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2026</w:t>
      </w:r>
      <w:r>
        <w:rPr>
          <w:rFonts w:hint="eastAsia" w:ascii="仿宋" w:hAnsi="仿宋" w:eastAsia="仿宋" w:cs="仿宋"/>
          <w:color w:val="000000" w:themeColor="text1"/>
          <w:sz w:val="32"/>
          <w:szCs w:val="32"/>
          <w:highlight w:val="none"/>
          <w14:textFill>
            <w14:solidFill>
              <w14:schemeClr w14:val="tx1"/>
            </w14:solidFill>
          </w14:textFill>
        </w:rPr>
        <w:t>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2</w:t>
      </w:r>
      <w:bookmarkStart w:id="13" w:name="_GoBack"/>
      <w:bookmarkEnd w:id="13"/>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jc w:val="center"/>
        <w:rPr>
          <w:rFonts w:hint="eastAsia" w:ascii="方正小标宋简体" w:hAnsi="方正小标宋简体" w:eastAsia="方正小标宋简体" w:cs="方正小标宋简体"/>
          <w:b w:val="0"/>
          <w:bCs w:val="0"/>
          <w:color w:val="auto"/>
          <w:sz w:val="32"/>
          <w:szCs w:val="3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heme="minorBidi"/>
          <w:kern w:val="2"/>
          <w:sz w:val="21"/>
          <w:szCs w:val="22"/>
          <w:lang w:val="en-US" w:eastAsia="zh-CN" w:bidi="ar-SA"/>
        </w:rPr>
        <w:id w:val="147459204"/>
        <w15:color w:val="DBDBDB"/>
        <w:docPartObj>
          <w:docPartGallery w:val="Table of Contents"/>
          <w:docPartUnique/>
        </w:docPartObj>
      </w:sdtPr>
      <w:sdtEndPr>
        <w:rPr>
          <w:rFonts w:hint="eastAsia" w:asciiTheme="minorHAnsi" w:hAnsiTheme="minorHAnsi" w:eastAsiaTheme="minorEastAsia" w:cstheme="minorBidi"/>
          <w:kern w:val="2"/>
          <w:sz w:val="21"/>
          <w:szCs w:val="22"/>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b w:val="0"/>
              <w:bCs w:val="0"/>
              <w:color w:val="000000" w:themeColor="text1"/>
              <w:sz w:val="32"/>
              <w:szCs w:val="32"/>
              <w:highlight w:val="none"/>
              <w14:textFill>
                <w14:solidFill>
                  <w14:schemeClr w14:val="tx1"/>
                </w14:solidFill>
              </w14:textFill>
            </w:rPr>
          </w:pPr>
          <w:r>
            <w:rPr>
              <w:rFonts w:hint="eastAsia" w:ascii="黑体" w:hAnsi="黑体" w:eastAsia="黑体" w:cs="黑体"/>
              <w:b w:val="0"/>
              <w:bCs w:val="0"/>
              <w:color w:val="000000" w:themeColor="text1"/>
              <w:sz w:val="32"/>
              <w:szCs w:val="32"/>
              <w:highlight w:val="none"/>
              <w14:textFill>
                <w14:solidFill>
                  <w14:schemeClr w14:val="tx1"/>
                </w14:solidFill>
              </w14:textFill>
            </w:rPr>
            <w:t>目录</w:t>
          </w:r>
        </w:p>
        <w:p>
          <w:pPr>
            <w:pStyle w:val="13"/>
            <w:tabs>
              <w:tab w:val="right" w:leader="dot" w:pos="8306"/>
            </w:tabs>
          </w:pPr>
          <w:r>
            <w:rPr>
              <w:rFonts w:hint="eastAsia"/>
              <w:lang w:val="en-US" w:eastAsia="zh-CN"/>
            </w:rPr>
            <w:fldChar w:fldCharType="begin"/>
          </w:r>
          <w:r>
            <w:rPr>
              <w:rFonts w:hint="eastAsia"/>
              <w:lang w:val="en-US" w:eastAsia="zh-CN"/>
            </w:rPr>
            <w:instrText xml:space="preserve">TOC \o "1-1" \h \u </w:instrText>
          </w:r>
          <w:r>
            <w:rPr>
              <w:rFonts w:hint="eastAsia"/>
              <w:lang w:val="en-US" w:eastAsia="zh-CN"/>
            </w:rPr>
            <w:fldChar w:fldCharType="separate"/>
          </w:r>
          <w:r>
            <w:rPr>
              <w:rFonts w:hint="eastAsia"/>
              <w:lang w:val="en-US" w:eastAsia="zh-CN"/>
            </w:rPr>
            <w:fldChar w:fldCharType="begin"/>
          </w:r>
          <w:r>
            <w:rPr>
              <w:rFonts w:hint="eastAsia"/>
              <w:lang w:val="en-US" w:eastAsia="zh-CN"/>
            </w:rPr>
            <w:instrText xml:space="preserve"> HYPERLINK \l _Toc29852 </w:instrText>
          </w:r>
          <w:r>
            <w:rPr>
              <w:rFonts w:hint="eastAsia"/>
              <w:lang w:val="en-US" w:eastAsia="zh-CN"/>
            </w:rPr>
            <w:fldChar w:fldCharType="separate"/>
          </w:r>
          <w:r>
            <w:rPr>
              <w:rFonts w:hint="eastAsia" w:ascii="黑体" w:hAnsi="黑体" w:eastAsia="黑体" w:cs="黑体"/>
              <w:bCs w:val="0"/>
              <w:szCs w:val="32"/>
              <w:highlight w:val="none"/>
              <w:lang w:val="en-US" w:eastAsia="zh-CN"/>
            </w:rPr>
            <w:t xml:space="preserve">第一章 </w:t>
          </w:r>
          <w:r>
            <w:rPr>
              <w:rFonts w:hint="eastAsia" w:ascii="黑体" w:hAnsi="黑体" w:eastAsia="黑体" w:cs="黑体"/>
              <w:bCs w:val="0"/>
              <w:szCs w:val="32"/>
              <w:highlight w:val="none"/>
            </w:rPr>
            <w:t>采购公告</w:t>
          </w:r>
          <w:r>
            <w:tab/>
          </w:r>
          <w:r>
            <w:fldChar w:fldCharType="begin"/>
          </w:r>
          <w:r>
            <w:instrText xml:space="preserve"> PAGEREF _Toc29852 \h </w:instrText>
          </w:r>
          <w:r>
            <w:fldChar w:fldCharType="separate"/>
          </w:r>
          <w:r>
            <w:t>3</w:t>
          </w:r>
          <w:r>
            <w:fldChar w:fldCharType="end"/>
          </w:r>
          <w:r>
            <w:rPr>
              <w:rFonts w:hint="eastAsia"/>
              <w:lang w:val="en-US" w:eastAsia="zh-CN"/>
            </w:rPr>
            <w:fldChar w:fldCharType="end"/>
          </w:r>
        </w:p>
        <w:p>
          <w:pPr>
            <w:pStyle w:val="13"/>
            <w:tabs>
              <w:tab w:val="right" w:leader="dot" w:pos="8306"/>
            </w:tabs>
          </w:pPr>
          <w:r>
            <w:rPr>
              <w:rFonts w:hint="eastAsia"/>
              <w:lang w:val="en-US" w:eastAsia="zh-CN"/>
            </w:rPr>
            <w:fldChar w:fldCharType="begin"/>
          </w:r>
          <w:r>
            <w:rPr>
              <w:rFonts w:hint="eastAsia"/>
              <w:lang w:val="en-US" w:eastAsia="zh-CN"/>
            </w:rPr>
            <w:instrText xml:space="preserve"> HYPERLINK \l _Toc16288 </w:instrText>
          </w:r>
          <w:r>
            <w:rPr>
              <w:rFonts w:hint="eastAsia"/>
              <w:lang w:val="en-US" w:eastAsia="zh-CN"/>
            </w:rPr>
            <w:fldChar w:fldCharType="separate"/>
          </w:r>
          <w:r>
            <w:rPr>
              <w:rFonts w:hint="eastAsia" w:ascii="黑体" w:hAnsi="黑体" w:eastAsia="黑体" w:cs="黑体"/>
              <w:kern w:val="0"/>
              <w:szCs w:val="32"/>
              <w:lang w:val="en-US" w:eastAsia="zh-CN" w:bidi="ar"/>
            </w:rPr>
            <w:t>第二章 供应商须知</w:t>
          </w:r>
          <w:r>
            <w:tab/>
          </w:r>
          <w:r>
            <w:fldChar w:fldCharType="begin"/>
          </w:r>
          <w:r>
            <w:instrText xml:space="preserve"> PAGEREF _Toc16288 \h </w:instrText>
          </w:r>
          <w:r>
            <w:fldChar w:fldCharType="separate"/>
          </w:r>
          <w:r>
            <w:t>7</w:t>
          </w:r>
          <w:r>
            <w:fldChar w:fldCharType="end"/>
          </w:r>
          <w:r>
            <w:rPr>
              <w:rFonts w:hint="eastAsia"/>
              <w:lang w:val="en-US" w:eastAsia="zh-CN"/>
            </w:rPr>
            <w:fldChar w:fldCharType="end"/>
          </w:r>
        </w:p>
        <w:p>
          <w:pPr>
            <w:pStyle w:val="13"/>
            <w:tabs>
              <w:tab w:val="right" w:leader="dot" w:pos="8306"/>
            </w:tabs>
          </w:pPr>
          <w:r>
            <w:rPr>
              <w:rFonts w:hint="eastAsia"/>
              <w:lang w:val="en-US" w:eastAsia="zh-CN"/>
            </w:rPr>
            <w:fldChar w:fldCharType="begin"/>
          </w:r>
          <w:r>
            <w:rPr>
              <w:rFonts w:hint="eastAsia"/>
              <w:lang w:val="en-US" w:eastAsia="zh-CN"/>
            </w:rPr>
            <w:instrText xml:space="preserve"> HYPERLINK \l _Toc27738 </w:instrText>
          </w:r>
          <w:r>
            <w:rPr>
              <w:rFonts w:hint="eastAsia"/>
              <w:lang w:val="en-US" w:eastAsia="zh-CN"/>
            </w:rPr>
            <w:fldChar w:fldCharType="separate"/>
          </w:r>
          <w:r>
            <w:rPr>
              <w:rFonts w:hint="eastAsia" w:ascii="黑体" w:hAnsi="黑体" w:eastAsia="黑体" w:cs="黑体"/>
              <w:kern w:val="0"/>
              <w:szCs w:val="32"/>
              <w:lang w:val="en-US" w:eastAsia="zh-CN" w:bidi="ar"/>
            </w:rPr>
            <w:t>第三章 招募方式</w:t>
          </w:r>
          <w:r>
            <w:tab/>
          </w:r>
          <w:r>
            <w:fldChar w:fldCharType="begin"/>
          </w:r>
          <w:r>
            <w:instrText xml:space="preserve"> PAGEREF _Toc27738 \h </w:instrText>
          </w:r>
          <w:r>
            <w:fldChar w:fldCharType="separate"/>
          </w:r>
          <w:r>
            <w:t>19</w:t>
          </w:r>
          <w:r>
            <w:fldChar w:fldCharType="end"/>
          </w:r>
          <w:r>
            <w:rPr>
              <w:rFonts w:hint="eastAsia"/>
              <w:lang w:val="en-US" w:eastAsia="zh-CN"/>
            </w:rPr>
            <w:fldChar w:fldCharType="end"/>
          </w:r>
        </w:p>
        <w:p>
          <w:pPr>
            <w:pStyle w:val="13"/>
            <w:tabs>
              <w:tab w:val="right" w:leader="dot" w:pos="8306"/>
            </w:tabs>
          </w:pPr>
          <w:r>
            <w:rPr>
              <w:rFonts w:hint="eastAsia"/>
              <w:lang w:val="en-US" w:eastAsia="zh-CN"/>
            </w:rPr>
            <w:fldChar w:fldCharType="begin"/>
          </w:r>
          <w:r>
            <w:rPr>
              <w:rFonts w:hint="eastAsia"/>
              <w:lang w:val="en-US" w:eastAsia="zh-CN"/>
            </w:rPr>
            <w:instrText xml:space="preserve"> HYPERLINK \l _Toc21709 </w:instrText>
          </w:r>
          <w:r>
            <w:rPr>
              <w:rFonts w:hint="eastAsia"/>
              <w:lang w:val="en-US" w:eastAsia="zh-CN"/>
            </w:rPr>
            <w:fldChar w:fldCharType="separate"/>
          </w:r>
          <w:r>
            <w:rPr>
              <w:rFonts w:hint="eastAsia" w:ascii="黑体" w:hAnsi="黑体" w:eastAsia="黑体" w:cs="黑体"/>
              <w:kern w:val="0"/>
              <w:szCs w:val="32"/>
              <w:lang w:val="en-US" w:eastAsia="zh-CN" w:bidi="ar"/>
            </w:rPr>
            <w:t>第四章 审查办法</w:t>
          </w:r>
          <w:r>
            <w:tab/>
          </w:r>
          <w:r>
            <w:fldChar w:fldCharType="begin"/>
          </w:r>
          <w:r>
            <w:instrText xml:space="preserve"> PAGEREF _Toc21709 \h </w:instrText>
          </w:r>
          <w:r>
            <w:fldChar w:fldCharType="separate"/>
          </w:r>
          <w:r>
            <w:t>20</w:t>
          </w:r>
          <w:r>
            <w:fldChar w:fldCharType="end"/>
          </w:r>
          <w:r>
            <w:rPr>
              <w:rFonts w:hint="eastAsia"/>
              <w:lang w:val="en-US" w:eastAsia="zh-CN"/>
            </w:rPr>
            <w:fldChar w:fldCharType="end"/>
          </w:r>
        </w:p>
        <w:p>
          <w:pPr>
            <w:pStyle w:val="13"/>
            <w:tabs>
              <w:tab w:val="right" w:leader="dot" w:pos="8306"/>
            </w:tabs>
          </w:pPr>
          <w:r>
            <w:rPr>
              <w:rFonts w:hint="eastAsia"/>
              <w:lang w:val="en-US" w:eastAsia="zh-CN"/>
            </w:rPr>
            <w:fldChar w:fldCharType="begin"/>
          </w:r>
          <w:r>
            <w:rPr>
              <w:rFonts w:hint="eastAsia"/>
              <w:lang w:val="en-US" w:eastAsia="zh-CN"/>
            </w:rPr>
            <w:instrText xml:space="preserve"> HYPERLINK \l _Toc18370 </w:instrText>
          </w:r>
          <w:r>
            <w:rPr>
              <w:rFonts w:hint="eastAsia"/>
              <w:lang w:val="en-US" w:eastAsia="zh-CN"/>
            </w:rPr>
            <w:fldChar w:fldCharType="separate"/>
          </w:r>
          <w:r>
            <w:rPr>
              <w:rFonts w:hint="eastAsia" w:ascii="黑体" w:hAnsi="黑体" w:eastAsia="黑体" w:cs="黑体"/>
              <w:kern w:val="0"/>
              <w:szCs w:val="32"/>
              <w:lang w:val="en-US" w:eastAsia="zh-CN" w:bidi="ar"/>
            </w:rPr>
            <w:t>第五章 响应文件格式</w:t>
          </w:r>
          <w:r>
            <w:tab/>
          </w:r>
          <w:r>
            <w:fldChar w:fldCharType="begin"/>
          </w:r>
          <w:r>
            <w:instrText xml:space="preserve"> PAGEREF _Toc18370 \h </w:instrText>
          </w:r>
          <w:r>
            <w:fldChar w:fldCharType="separate"/>
          </w:r>
          <w:r>
            <w:t>21</w:t>
          </w:r>
          <w:r>
            <w:fldChar w:fldCharType="end"/>
          </w:r>
          <w:r>
            <w:rPr>
              <w:rFonts w:hint="eastAsia"/>
              <w:lang w:val="en-US" w:eastAsia="zh-CN"/>
            </w:rPr>
            <w:fldChar w:fldCharType="end"/>
          </w:r>
        </w:p>
        <w:p>
          <w:pPr>
            <w:outlineLvl w:val="9"/>
            <w:rPr>
              <w:rFonts w:hint="eastAsia"/>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lang w:val="en-US" w:eastAsia="zh-CN"/>
            </w:rPr>
            <w:fldChar w:fldCharType="end"/>
          </w:r>
        </w:p>
      </w:sdtContent>
    </w:sdt>
    <w:p>
      <w:pPr>
        <w:spacing w:line="240" w:lineRule="auto"/>
        <w:jc w:val="center"/>
        <w:outlineLvl w:val="0"/>
        <w:rPr>
          <w:rFonts w:hint="eastAsia" w:ascii="黑体" w:hAnsi="黑体" w:eastAsia="黑体" w:cs="黑体"/>
          <w:b w:val="0"/>
          <w:bCs w:val="0"/>
          <w:color w:val="auto"/>
          <w:sz w:val="32"/>
          <w:szCs w:val="32"/>
          <w:lang w:val="en-US" w:eastAsia="zh-CN"/>
        </w:rPr>
      </w:pPr>
      <w:bookmarkStart w:id="0" w:name="_Toc29852"/>
      <w:bookmarkStart w:id="1" w:name="_Toc132793791"/>
      <w:bookmarkStart w:id="2" w:name="_Toc21069"/>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 xml:space="preserve">第一章 </w:t>
      </w:r>
      <w:r>
        <w:rPr>
          <w:rFonts w:hint="eastAsia" w:ascii="黑体" w:hAnsi="黑体" w:eastAsia="黑体" w:cs="黑体"/>
          <w:b w:val="0"/>
          <w:bCs w:val="0"/>
          <w:color w:val="000000" w:themeColor="text1"/>
          <w:sz w:val="32"/>
          <w:szCs w:val="32"/>
          <w:highlight w:val="none"/>
          <w14:textFill>
            <w14:solidFill>
              <w14:schemeClr w14:val="tx1"/>
            </w14:solidFill>
          </w14:textFill>
        </w:rPr>
        <w:t>采购公告</w:t>
      </w:r>
      <w:bookmarkEnd w:id="0"/>
      <w:bookmarkEnd w:id="1"/>
      <w:bookmarkEnd w:id="2"/>
    </w:p>
    <w:p>
      <w:pPr>
        <w:spacing w:line="240" w:lineRule="auto"/>
        <w:jc w:val="center"/>
        <w:outlineLvl w:val="9"/>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顺德区绿色低碳建材项目海砂原材料</w:t>
      </w:r>
    </w:p>
    <w:p>
      <w:pPr>
        <w:spacing w:line="240" w:lineRule="auto"/>
        <w:jc w:val="center"/>
        <w:outlineLvl w:val="9"/>
        <w:rPr>
          <w:rFonts w:hint="eastAsia" w:ascii="方正小标宋简体" w:hAnsi="方正小标宋简体" w:eastAsia="方正小标宋简体" w:cs="方正小标宋简体"/>
          <w:b w:val="0"/>
          <w:bCs w:val="0"/>
          <w:color w:val="auto"/>
          <w:sz w:val="44"/>
          <w:szCs w:val="44"/>
          <w:lang w:val="en-US" w:eastAsia="zh-CN"/>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供应商招募项目（第二次）</w:t>
      </w:r>
    </w:p>
    <w:p>
      <w:pPr>
        <w:spacing w:line="240" w:lineRule="auto"/>
        <w:jc w:val="center"/>
        <w:outlineLvl w:val="9"/>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pPr>
      <w:r>
        <w:rPr>
          <w:rFonts w:hint="eastAsia" w:ascii="仿宋" w:hAnsi="仿宋" w:eastAsia="仿宋" w:cs="仿宋"/>
          <w:b/>
          <w:bCs w:val="0"/>
          <w:color w:val="000000" w:themeColor="text1"/>
          <w:sz w:val="44"/>
          <w:szCs w:val="44"/>
          <w:highlight w:val="none"/>
          <w:u w:val="none"/>
          <w:lang w:val="en-US" w:eastAsia="zh-CN"/>
          <w14:textFill>
            <w14:solidFill>
              <w14:schemeClr w14:val="tx1"/>
            </w14:solidFill>
          </w14:textFill>
        </w:rPr>
        <w:t>招募公告</w:t>
      </w:r>
    </w:p>
    <w:p>
      <w:pPr>
        <w:widowControl/>
        <w:spacing w:before="100" w:after="100" w:line="240" w:lineRule="auto"/>
        <w:ind w:firstLine="560" w:firstLineChars="200"/>
        <w:jc w:val="left"/>
        <w:rPr>
          <w:rFonts w:hint="eastAsia" w:ascii="仿宋_GB2312" w:hAnsi="仿宋_GB2312" w:eastAsia="仿宋_GB2312" w:cs="仿宋_GB2312"/>
          <w:color w:val="auto"/>
          <w:kern w:val="0"/>
          <w:sz w:val="28"/>
          <w:szCs w:val="28"/>
          <w:lang w:bidi="ar"/>
        </w:rPr>
      </w:pPr>
    </w:p>
    <w:p>
      <w:pPr>
        <w:widowControl/>
        <w:spacing w:before="100" w:after="100" w:line="360" w:lineRule="auto"/>
        <w:ind w:firstLine="560" w:firstLineChars="200"/>
        <w:jc w:val="left"/>
        <w:rPr>
          <w:rFonts w:hint="eastAsia" w:ascii="仿宋_GB2312" w:hAnsi="仿宋_GB2312" w:eastAsia="仿宋_GB2312" w:cs="仿宋_GB2312"/>
          <w:color w:val="auto"/>
          <w:kern w:val="0"/>
          <w:sz w:val="28"/>
          <w:szCs w:val="28"/>
          <w:lang w:bidi="ar"/>
        </w:rPr>
      </w:pPr>
      <w:r>
        <w:rPr>
          <w:rFonts w:hint="eastAsia" w:ascii="仿宋_GB2312" w:hAnsi="仿宋_GB2312" w:eastAsia="仿宋_GB2312" w:cs="仿宋_GB2312"/>
          <w:color w:val="auto"/>
          <w:kern w:val="0"/>
          <w:sz w:val="28"/>
          <w:szCs w:val="28"/>
          <w:lang w:bidi="ar"/>
        </w:rPr>
        <w:t>因</w:t>
      </w:r>
      <w:r>
        <w:rPr>
          <w:rFonts w:hint="eastAsia" w:ascii="仿宋_GB2312" w:hAnsi="仿宋_GB2312" w:eastAsia="仿宋_GB2312" w:cs="仿宋_GB2312"/>
          <w:color w:val="auto"/>
          <w:kern w:val="0"/>
          <w:sz w:val="28"/>
          <w:szCs w:val="28"/>
          <w:lang w:val="en-US" w:eastAsia="zh-CN" w:bidi="ar"/>
        </w:rPr>
        <w:t>业务</w:t>
      </w:r>
      <w:r>
        <w:rPr>
          <w:rFonts w:hint="eastAsia" w:ascii="仿宋_GB2312" w:hAnsi="仿宋_GB2312" w:eastAsia="仿宋_GB2312" w:cs="仿宋_GB2312"/>
          <w:color w:val="auto"/>
          <w:kern w:val="0"/>
          <w:sz w:val="28"/>
          <w:szCs w:val="28"/>
          <w:lang w:bidi="ar"/>
        </w:rPr>
        <w:t>需要，</w:t>
      </w:r>
      <w:r>
        <w:rPr>
          <w:rFonts w:hint="eastAsia" w:ascii="仿宋_GB2312" w:hAnsi="仿宋_GB2312" w:eastAsia="仿宋_GB2312" w:cs="仿宋_GB2312"/>
          <w:color w:val="auto"/>
          <w:kern w:val="0"/>
          <w:sz w:val="28"/>
          <w:szCs w:val="28"/>
          <w:highlight w:val="none"/>
          <w:u w:val="none"/>
          <w:lang w:val="en-US" w:eastAsia="zh-CN" w:bidi="ar"/>
        </w:rPr>
        <w:t>佛山市顺博城市发展有限公司</w:t>
      </w:r>
      <w:r>
        <w:rPr>
          <w:rFonts w:hint="eastAsia" w:ascii="仿宋_GB2312" w:hAnsi="仿宋_GB2312" w:eastAsia="仿宋_GB2312" w:cs="仿宋_GB2312"/>
          <w:color w:val="auto"/>
          <w:kern w:val="0"/>
          <w:sz w:val="28"/>
          <w:szCs w:val="28"/>
          <w:lang w:val="en-US" w:eastAsia="zh-CN" w:bidi="ar"/>
        </w:rPr>
        <w:t>（以下简称“</w:t>
      </w:r>
      <w:r>
        <w:rPr>
          <w:rFonts w:hint="eastAsia" w:ascii="仿宋_GB2312" w:hAnsi="仿宋_GB2312" w:eastAsia="仿宋_GB2312" w:cs="仿宋_GB2312"/>
          <w:color w:val="auto"/>
          <w:kern w:val="0"/>
          <w:sz w:val="28"/>
          <w:szCs w:val="28"/>
          <w:lang w:eastAsia="zh-CN" w:bidi="ar"/>
        </w:rPr>
        <w:t>采购人</w:t>
      </w:r>
      <w:r>
        <w:rPr>
          <w:rFonts w:hint="eastAsia" w:ascii="仿宋_GB2312" w:hAnsi="仿宋_GB2312" w:eastAsia="仿宋_GB2312" w:cs="仿宋_GB2312"/>
          <w:color w:val="auto"/>
          <w:kern w:val="0"/>
          <w:sz w:val="28"/>
          <w:szCs w:val="28"/>
          <w:lang w:val="en-US" w:eastAsia="zh-CN" w:bidi="ar"/>
        </w:rPr>
        <w:t>”</w:t>
      </w:r>
      <w:r>
        <w:rPr>
          <w:rFonts w:hint="eastAsia" w:ascii="仿宋_GB2312" w:hAnsi="仿宋_GB2312" w:eastAsia="仿宋_GB2312" w:cs="仿宋_GB2312"/>
          <w:color w:val="auto"/>
          <w:kern w:val="0"/>
          <w:sz w:val="28"/>
          <w:szCs w:val="28"/>
          <w:lang w:eastAsia="zh-CN" w:bidi="ar"/>
        </w:rPr>
        <w:t>）现</w:t>
      </w:r>
      <w:r>
        <w:rPr>
          <w:rFonts w:hint="eastAsia" w:ascii="仿宋_GB2312" w:hAnsi="仿宋_GB2312" w:eastAsia="仿宋_GB2312" w:cs="仿宋_GB2312"/>
          <w:color w:val="auto"/>
          <w:kern w:val="0"/>
          <w:sz w:val="28"/>
          <w:szCs w:val="28"/>
          <w:highlight w:val="none"/>
          <w:u w:val="none"/>
          <w:lang w:eastAsia="zh-CN" w:bidi="ar"/>
        </w:rPr>
        <w:t>公开招募海砂（</w:t>
      </w:r>
      <w:r>
        <w:rPr>
          <w:rFonts w:hint="eastAsia" w:ascii="仿宋_GB2312" w:hAnsi="仿宋_GB2312" w:eastAsia="仿宋_GB2312" w:cs="仿宋_GB2312"/>
          <w:color w:val="auto"/>
          <w:kern w:val="0"/>
          <w:sz w:val="28"/>
          <w:szCs w:val="28"/>
          <w:highlight w:val="none"/>
          <w:u w:val="none"/>
          <w:lang w:val="en-US" w:eastAsia="zh-CN" w:bidi="ar"/>
        </w:rPr>
        <w:t>未淡化</w:t>
      </w:r>
      <w:r>
        <w:rPr>
          <w:rFonts w:hint="eastAsia" w:ascii="仿宋_GB2312" w:hAnsi="仿宋_GB2312" w:eastAsia="仿宋_GB2312" w:cs="仿宋_GB2312"/>
          <w:color w:val="auto"/>
          <w:kern w:val="0"/>
          <w:sz w:val="28"/>
          <w:szCs w:val="28"/>
          <w:highlight w:val="none"/>
          <w:u w:val="none"/>
          <w:lang w:eastAsia="zh-CN" w:bidi="ar"/>
        </w:rPr>
        <w:t>）供应商，建立合格供应商库。</w:t>
      </w:r>
      <w:r>
        <w:rPr>
          <w:rFonts w:hint="eastAsia" w:ascii="仿宋_GB2312" w:hAnsi="仿宋_GB2312" w:eastAsia="仿宋_GB2312" w:cs="仿宋_GB2312"/>
          <w:color w:val="auto"/>
          <w:kern w:val="0"/>
          <w:sz w:val="28"/>
          <w:szCs w:val="28"/>
          <w:lang w:eastAsia="zh-CN" w:bidi="ar"/>
        </w:rPr>
        <w:t>欢迎符合</w:t>
      </w:r>
      <w:r>
        <w:rPr>
          <w:rFonts w:hint="eastAsia" w:ascii="仿宋_GB2312" w:hAnsi="仿宋_GB2312" w:eastAsia="仿宋_GB2312" w:cs="仿宋_GB2312"/>
          <w:color w:val="auto"/>
          <w:kern w:val="0"/>
          <w:sz w:val="28"/>
          <w:szCs w:val="28"/>
          <w:lang w:val="en-US" w:eastAsia="zh-CN" w:bidi="ar"/>
        </w:rPr>
        <w:t>以下</w:t>
      </w:r>
      <w:r>
        <w:rPr>
          <w:rFonts w:hint="eastAsia" w:ascii="仿宋_GB2312" w:hAnsi="仿宋_GB2312" w:eastAsia="仿宋_GB2312" w:cs="仿宋_GB2312"/>
          <w:color w:val="auto"/>
          <w:kern w:val="0"/>
          <w:sz w:val="28"/>
          <w:szCs w:val="28"/>
          <w:lang w:eastAsia="zh-CN" w:bidi="ar"/>
        </w:rPr>
        <w:t>条件的供应商参与</w:t>
      </w:r>
      <w:r>
        <w:rPr>
          <w:rFonts w:hint="eastAsia" w:ascii="仿宋_GB2312" w:hAnsi="仿宋_GB2312" w:eastAsia="仿宋_GB2312" w:cs="仿宋_GB2312"/>
          <w:color w:val="auto"/>
          <w:kern w:val="0"/>
          <w:sz w:val="28"/>
          <w:szCs w:val="28"/>
          <w:lang w:bidi="ar"/>
        </w:rPr>
        <w:t>：</w:t>
      </w:r>
    </w:p>
    <w:p>
      <w:pPr>
        <w:pStyle w:val="14"/>
        <w:numPr>
          <w:ilvl w:val="0"/>
          <w:numId w:val="1"/>
        </w:numPr>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供应商资格要求</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rPr>
      </w:pPr>
      <w:bookmarkStart w:id="3" w:name="OLE_LINK1"/>
      <w:r>
        <w:rPr>
          <w:rFonts w:hint="eastAsia" w:ascii="楷体_GB2312" w:hAnsi="楷体_GB2312" w:eastAsia="楷体_GB2312" w:cs="楷体_GB2312"/>
          <w:color w:val="auto"/>
          <w:sz w:val="28"/>
          <w:szCs w:val="24"/>
          <w:lang w:val="en-US" w:eastAsia="zh-CN"/>
        </w:rPr>
        <w:t>（一）</w:t>
      </w:r>
      <w:r>
        <w:rPr>
          <w:rFonts w:hint="eastAsia" w:ascii="仿宋_GB2312" w:hAnsi="仿宋_GB2312" w:eastAsia="仿宋_GB2312" w:cs="仿宋_GB2312"/>
          <w:color w:val="auto"/>
          <w:sz w:val="28"/>
          <w:szCs w:val="24"/>
          <w:lang w:val="en-US" w:eastAsia="zh-CN"/>
        </w:rPr>
        <w:t>在中华人民共和国境内依法注册、具有独立承担民事责任能力的独立法人资格或其他组织</w:t>
      </w:r>
      <w:r>
        <w:rPr>
          <w:rFonts w:hint="eastAsia" w:ascii="仿宋_GB2312" w:hAnsi="仿宋_GB2312" w:eastAsia="仿宋_GB2312" w:cs="仿宋_GB2312"/>
          <w:color w:val="auto"/>
          <w:sz w:val="28"/>
          <w:szCs w:val="24"/>
        </w:rPr>
        <w:t>，同时还应具备如下条件：</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rPr>
      </w:pPr>
      <w:r>
        <w:rPr>
          <w:rFonts w:hint="eastAsia" w:ascii="仿宋_GB2312" w:hAnsi="仿宋_GB2312" w:eastAsia="仿宋_GB2312" w:cs="仿宋_GB2312"/>
          <w:color w:val="auto"/>
          <w:sz w:val="28"/>
          <w:szCs w:val="24"/>
          <w:lang w:eastAsia="zh-CN"/>
        </w:rPr>
        <w:sym w:font="Wingdings 2" w:char="0052"/>
      </w:r>
      <w:r>
        <w:rPr>
          <w:rFonts w:hint="eastAsia" w:ascii="仿宋_GB2312" w:hAnsi="仿宋_GB2312" w:eastAsia="仿宋_GB2312" w:cs="仿宋_GB2312"/>
          <w:color w:val="auto"/>
          <w:sz w:val="28"/>
          <w:szCs w:val="24"/>
          <w:lang w:val="en-US" w:eastAsia="zh-CN"/>
        </w:rPr>
        <w:t>1.</w:t>
      </w:r>
      <w:r>
        <w:rPr>
          <w:rFonts w:hint="eastAsia" w:ascii="仿宋_GB2312" w:hAnsi="仿宋_GB2312" w:eastAsia="仿宋_GB2312" w:cs="仿宋_GB2312"/>
          <w:color w:val="auto"/>
          <w:sz w:val="28"/>
          <w:szCs w:val="24"/>
          <w:lang w:eastAsia="zh-CN"/>
        </w:rPr>
        <w:t>供应商</w:t>
      </w:r>
      <w:r>
        <w:rPr>
          <w:rFonts w:hint="eastAsia" w:ascii="仿宋_GB2312" w:hAnsi="仿宋_GB2312" w:eastAsia="仿宋_GB2312" w:cs="仿宋_GB2312"/>
          <w:color w:val="auto"/>
          <w:sz w:val="28"/>
          <w:szCs w:val="24"/>
        </w:rPr>
        <w:t>须为</w:t>
      </w:r>
      <w:r>
        <w:rPr>
          <w:rFonts w:hint="eastAsia" w:ascii="仿宋_GB2312" w:hAnsi="仿宋_GB2312" w:eastAsia="仿宋_GB2312" w:cs="仿宋_GB2312"/>
          <w:b/>
          <w:bCs/>
          <w:color w:val="auto"/>
          <w:sz w:val="28"/>
          <w:szCs w:val="24"/>
        </w:rPr>
        <w:t>海砂矿业权人</w:t>
      </w:r>
      <w:r>
        <w:rPr>
          <w:rFonts w:hint="eastAsia" w:ascii="仿宋_GB2312" w:hAnsi="仿宋_GB2312" w:eastAsia="仿宋_GB2312" w:cs="仿宋_GB2312"/>
          <w:color w:val="auto"/>
          <w:sz w:val="28"/>
          <w:szCs w:val="24"/>
        </w:rPr>
        <w:t>或</w:t>
      </w:r>
      <w:r>
        <w:rPr>
          <w:rFonts w:hint="eastAsia" w:ascii="仿宋_GB2312" w:hAnsi="仿宋_GB2312" w:eastAsia="仿宋_GB2312" w:cs="仿宋_GB2312"/>
          <w:b/>
          <w:bCs/>
          <w:color w:val="auto"/>
          <w:sz w:val="28"/>
          <w:szCs w:val="24"/>
        </w:rPr>
        <w:t>海砂矿业权人指定的经销商/代理商</w:t>
      </w:r>
      <w:r>
        <w:rPr>
          <w:rFonts w:hint="eastAsia" w:ascii="仿宋_GB2312" w:hAnsi="仿宋_GB2312" w:eastAsia="仿宋_GB2312" w:cs="仿宋_GB2312"/>
          <w:color w:val="auto"/>
          <w:sz w:val="28"/>
          <w:szCs w:val="24"/>
        </w:rPr>
        <w:t>或</w:t>
      </w:r>
      <w:r>
        <w:rPr>
          <w:rFonts w:hint="eastAsia" w:ascii="仿宋_GB2312" w:hAnsi="仿宋_GB2312" w:eastAsia="仿宋_GB2312" w:cs="仿宋_GB2312"/>
          <w:b/>
          <w:bCs/>
          <w:color w:val="auto"/>
          <w:sz w:val="28"/>
          <w:szCs w:val="24"/>
        </w:rPr>
        <w:t>由海砂矿业权人指定的经销商/代理商合法授权的分销商</w:t>
      </w:r>
      <w:r>
        <w:rPr>
          <w:rFonts w:hint="eastAsia" w:ascii="仿宋_GB2312" w:hAnsi="仿宋_GB2312" w:eastAsia="仿宋_GB2312" w:cs="仿宋_GB2312"/>
          <w:color w:val="auto"/>
          <w:sz w:val="28"/>
          <w:szCs w:val="24"/>
        </w:rPr>
        <w:t>。【</w:t>
      </w:r>
      <w:r>
        <w:rPr>
          <w:rFonts w:hint="eastAsia" w:ascii="仿宋_GB2312" w:hAnsi="仿宋_GB2312" w:eastAsia="仿宋_GB2312" w:cs="仿宋_GB2312"/>
          <w:b/>
          <w:bCs/>
          <w:color w:val="auto"/>
          <w:sz w:val="28"/>
          <w:szCs w:val="24"/>
        </w:rPr>
        <w:t>海砂矿业权人</w:t>
      </w:r>
      <w:r>
        <w:rPr>
          <w:rFonts w:hint="eastAsia" w:ascii="仿宋_GB2312" w:hAnsi="仿宋_GB2312" w:eastAsia="仿宋_GB2312" w:cs="仿宋_GB2312"/>
          <w:color w:val="auto"/>
          <w:sz w:val="28"/>
          <w:szCs w:val="24"/>
        </w:rPr>
        <w:t>的须提供有效的采矿许可证/不动产登记证等权属证明；</w:t>
      </w:r>
      <w:r>
        <w:rPr>
          <w:rFonts w:hint="eastAsia" w:ascii="仿宋_GB2312" w:hAnsi="仿宋_GB2312" w:eastAsia="仿宋_GB2312" w:cs="仿宋_GB2312"/>
          <w:b/>
          <w:bCs/>
          <w:color w:val="auto"/>
          <w:sz w:val="28"/>
          <w:szCs w:val="24"/>
        </w:rPr>
        <w:t>海砂矿业权人指定的经销商/代理商</w:t>
      </w:r>
      <w:r>
        <w:rPr>
          <w:rFonts w:hint="eastAsia" w:ascii="仿宋_GB2312" w:hAnsi="仿宋_GB2312" w:eastAsia="仿宋_GB2312" w:cs="仿宋_GB2312"/>
          <w:color w:val="auto"/>
          <w:sz w:val="28"/>
          <w:szCs w:val="24"/>
        </w:rPr>
        <w:t>的须提供海砂矿业权人有效的采矿许可证/不动产登记证等权属证明、与海砂矿业权人签订的有效授权书或经销（代理）合同或中标证明资料，授权链须完整清晰，确保可溯源至源头矿业权人；</w:t>
      </w:r>
      <w:r>
        <w:rPr>
          <w:rFonts w:hint="eastAsia" w:ascii="仿宋_GB2312" w:hAnsi="仿宋_GB2312" w:eastAsia="仿宋_GB2312" w:cs="仿宋_GB2312"/>
          <w:b/>
          <w:bCs/>
          <w:color w:val="auto"/>
          <w:sz w:val="28"/>
          <w:szCs w:val="24"/>
        </w:rPr>
        <w:t>由海砂矿业权人指定的经销商/代理商合法授权的分销商</w:t>
      </w:r>
      <w:r>
        <w:rPr>
          <w:rFonts w:hint="eastAsia" w:ascii="仿宋_GB2312" w:hAnsi="仿宋_GB2312" w:eastAsia="仿宋_GB2312" w:cs="仿宋_GB2312"/>
          <w:color w:val="auto"/>
          <w:sz w:val="28"/>
          <w:szCs w:val="24"/>
        </w:rPr>
        <w:t>的须提供除海砂矿业权人指定的经销商/代理商所需资料外，还须提供由海砂矿业权人指定的经销商/代理商合法授权的证明资料】</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rPr>
      </w:pPr>
      <w:r>
        <w:rPr>
          <w:rFonts w:hint="eastAsia" w:ascii="仿宋_GB2312" w:hAnsi="仿宋_GB2312" w:eastAsia="仿宋_GB2312" w:cs="仿宋_GB2312"/>
          <w:color w:val="auto"/>
          <w:sz w:val="28"/>
          <w:szCs w:val="24"/>
          <w:lang w:eastAsia="zh-CN"/>
        </w:rPr>
        <w:sym w:font="Wingdings 2" w:char="0052"/>
      </w:r>
      <w:r>
        <w:rPr>
          <w:rFonts w:hint="eastAsia" w:ascii="仿宋_GB2312" w:hAnsi="仿宋_GB2312" w:eastAsia="仿宋_GB2312" w:cs="仿宋_GB2312"/>
          <w:color w:val="auto"/>
          <w:sz w:val="28"/>
          <w:szCs w:val="24"/>
          <w:lang w:val="en-US" w:eastAsia="zh-CN"/>
        </w:rPr>
        <w:t>2.</w:t>
      </w:r>
      <w:r>
        <w:rPr>
          <w:rFonts w:hint="eastAsia" w:ascii="仿宋_GB2312" w:hAnsi="仿宋_GB2312" w:eastAsia="仿宋_GB2312" w:cs="仿宋_GB2312"/>
          <w:color w:val="auto"/>
          <w:sz w:val="28"/>
          <w:szCs w:val="24"/>
          <w:lang w:eastAsia="zh-CN"/>
        </w:rPr>
        <w:t>供应商所提供的</w:t>
      </w:r>
      <w:r>
        <w:rPr>
          <w:rFonts w:hint="eastAsia" w:ascii="仿宋_GB2312" w:hAnsi="仿宋_GB2312" w:eastAsia="仿宋_GB2312" w:cs="仿宋_GB2312"/>
          <w:color w:val="auto"/>
          <w:kern w:val="0"/>
          <w:sz w:val="28"/>
          <w:szCs w:val="28"/>
          <w:highlight w:val="none"/>
          <w:u w:val="none"/>
          <w:lang w:eastAsia="zh-CN" w:bidi="ar"/>
        </w:rPr>
        <w:t>海砂（</w:t>
      </w:r>
      <w:r>
        <w:rPr>
          <w:rFonts w:hint="eastAsia" w:ascii="仿宋_GB2312" w:hAnsi="仿宋_GB2312" w:eastAsia="仿宋_GB2312" w:cs="仿宋_GB2312"/>
          <w:color w:val="auto"/>
          <w:kern w:val="0"/>
          <w:sz w:val="28"/>
          <w:szCs w:val="28"/>
          <w:highlight w:val="none"/>
          <w:u w:val="none"/>
          <w:lang w:val="en-US" w:eastAsia="zh-CN" w:bidi="ar"/>
        </w:rPr>
        <w:t>未淡化</w:t>
      </w:r>
      <w:r>
        <w:rPr>
          <w:rFonts w:hint="eastAsia" w:ascii="仿宋_GB2312" w:hAnsi="仿宋_GB2312" w:eastAsia="仿宋_GB2312" w:cs="仿宋_GB2312"/>
          <w:color w:val="auto"/>
          <w:kern w:val="0"/>
          <w:sz w:val="28"/>
          <w:szCs w:val="28"/>
          <w:highlight w:val="none"/>
          <w:u w:val="none"/>
          <w:lang w:eastAsia="zh-CN" w:bidi="ar"/>
        </w:rPr>
        <w:t>）的砂源地矿区/标段须经属地自然资源主管部门报县级以上地方人民政府组织纳入公共资源交易平台公开出让，须为政府主管部门最新公布的合法矿区/标段名录内，或已依法取得合法采矿权的矿区/标段</w:t>
      </w:r>
      <w:r>
        <w:rPr>
          <w:rFonts w:hint="eastAsia" w:ascii="仿宋_GB2312" w:hAnsi="仿宋_GB2312" w:eastAsia="仿宋_GB2312" w:cs="仿宋_GB2312"/>
          <w:color w:val="auto"/>
          <w:sz w:val="28"/>
          <w:szCs w:val="24"/>
        </w:rPr>
        <w:t>。【供应商提供砂源地所属主管部门出具的开采许可证、不动产登记证或公开交易公示信息截图】</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lang w:eastAsia="zh-CN"/>
        </w:rPr>
      </w:pPr>
      <w:r>
        <w:rPr>
          <w:rFonts w:hint="eastAsia" w:ascii="仿宋_GB2312" w:hAnsi="仿宋_GB2312" w:eastAsia="仿宋_GB2312" w:cs="仿宋_GB2312"/>
          <w:color w:val="auto"/>
          <w:sz w:val="28"/>
          <w:szCs w:val="24"/>
          <w:lang w:eastAsia="zh-CN"/>
        </w:rPr>
        <w:sym w:font="Wingdings 2" w:char="0052"/>
      </w:r>
      <w:r>
        <w:rPr>
          <w:rFonts w:hint="eastAsia" w:ascii="仿宋_GB2312" w:hAnsi="仿宋_GB2312" w:eastAsia="仿宋_GB2312" w:cs="仿宋_GB2312"/>
          <w:color w:val="auto"/>
          <w:sz w:val="28"/>
          <w:szCs w:val="24"/>
          <w:lang w:val="en-US" w:eastAsia="zh-CN"/>
        </w:rPr>
        <w:t>3.</w:t>
      </w:r>
      <w:r>
        <w:rPr>
          <w:rFonts w:hint="eastAsia" w:ascii="仿宋_GB2312" w:hAnsi="仿宋_GB2312" w:eastAsia="仿宋_GB2312" w:cs="仿宋_GB2312"/>
          <w:color w:val="auto"/>
          <w:sz w:val="28"/>
          <w:szCs w:val="24"/>
          <w:lang w:eastAsia="zh-CN"/>
        </w:rPr>
        <w:t>供应商未</w:t>
      </w:r>
      <w:r>
        <w:rPr>
          <w:rFonts w:hint="eastAsia" w:ascii="仿宋_GB2312" w:hAnsi="仿宋_GB2312" w:eastAsia="仿宋_GB2312" w:cs="仿宋_GB2312"/>
          <w:color w:val="auto"/>
          <w:sz w:val="28"/>
          <w:szCs w:val="24"/>
        </w:rPr>
        <w:t>被列入信用中国网站</w:t>
      </w:r>
      <w:r>
        <w:rPr>
          <w:rFonts w:hint="eastAsia" w:ascii="仿宋_GB2312" w:hAnsi="仿宋_GB2312" w:eastAsia="仿宋_GB2312" w:cs="仿宋_GB2312"/>
          <w:color w:val="auto"/>
          <w:sz w:val="28"/>
          <w:szCs w:val="24"/>
          <w:lang w:eastAsia="zh-CN"/>
        </w:rPr>
        <w:t>（https://www.creditchina.gov.cn/）“</w:t>
      </w:r>
      <w:r>
        <w:rPr>
          <w:rFonts w:hint="eastAsia" w:ascii="仿宋_GB2312" w:hAnsi="仿宋_GB2312" w:eastAsia="仿宋_GB2312" w:cs="仿宋_GB2312"/>
          <w:color w:val="auto"/>
          <w:sz w:val="28"/>
          <w:szCs w:val="24"/>
        </w:rPr>
        <w:t>失信被执行人</w:t>
      </w:r>
      <w:r>
        <w:rPr>
          <w:rFonts w:hint="eastAsia" w:ascii="仿宋_GB2312" w:hAnsi="仿宋_GB2312" w:eastAsia="仿宋_GB2312" w:cs="仿宋_GB2312"/>
          <w:color w:val="auto"/>
          <w:sz w:val="28"/>
          <w:szCs w:val="24"/>
          <w:lang w:eastAsia="zh-CN"/>
        </w:rPr>
        <w:t>”、“重大税收违法失信主体”、“政府采购严重违法失信行为”记录</w:t>
      </w:r>
      <w:r>
        <w:rPr>
          <w:rFonts w:hint="eastAsia" w:ascii="仿宋_GB2312" w:hAnsi="仿宋_GB2312" w:eastAsia="仿宋_GB2312" w:cs="仿宋_GB2312"/>
          <w:color w:val="auto"/>
          <w:sz w:val="28"/>
          <w:szCs w:val="24"/>
        </w:rPr>
        <w:t>名单</w:t>
      </w:r>
      <w:r>
        <w:rPr>
          <w:rFonts w:hint="eastAsia" w:ascii="仿宋_GB2312" w:hAnsi="仿宋_GB2312" w:eastAsia="仿宋_GB2312" w:cs="仿宋_GB2312"/>
          <w:color w:val="auto"/>
          <w:sz w:val="28"/>
          <w:szCs w:val="24"/>
          <w:lang w:eastAsia="zh-CN"/>
        </w:rPr>
        <w:t>；未被列入</w:t>
      </w:r>
      <w:r>
        <w:rPr>
          <w:rFonts w:hint="eastAsia" w:ascii="仿宋_GB2312" w:hAnsi="仿宋_GB2312" w:eastAsia="仿宋_GB2312" w:cs="仿宋_GB2312"/>
          <w:color w:val="auto"/>
          <w:sz w:val="28"/>
          <w:szCs w:val="24"/>
        </w:rPr>
        <w:t>中国政府采购网网站</w:t>
      </w:r>
      <w:r>
        <w:rPr>
          <w:rFonts w:hint="eastAsia" w:ascii="仿宋_GB2312" w:hAnsi="仿宋_GB2312" w:eastAsia="仿宋_GB2312" w:cs="仿宋_GB2312"/>
          <w:color w:val="auto"/>
          <w:sz w:val="28"/>
          <w:szCs w:val="24"/>
          <w:lang w:eastAsia="zh-CN"/>
        </w:rPr>
        <w:t>（http://www.ccgp.gov.cn/search/cr/）</w:t>
      </w:r>
      <w:r>
        <w:rPr>
          <w:rFonts w:hint="eastAsia" w:ascii="仿宋_GB2312" w:hAnsi="仿宋_GB2312" w:eastAsia="仿宋_GB2312" w:cs="仿宋_GB2312"/>
          <w:color w:val="auto"/>
          <w:sz w:val="28"/>
          <w:szCs w:val="24"/>
        </w:rPr>
        <w:t>“政府采购严重违法失信行为”记录名单</w:t>
      </w:r>
      <w:r>
        <w:rPr>
          <w:rFonts w:hint="eastAsia" w:ascii="仿宋_GB2312" w:hAnsi="仿宋_GB2312" w:eastAsia="仿宋_GB2312" w:cs="仿宋_GB2312"/>
          <w:color w:val="auto"/>
          <w:sz w:val="28"/>
          <w:szCs w:val="24"/>
          <w:lang w:eastAsia="zh-CN"/>
        </w:rPr>
        <w:t>。</w:t>
      </w:r>
      <w:r>
        <w:rPr>
          <w:rFonts w:hint="eastAsia" w:ascii="仿宋_GB2312" w:hAnsi="仿宋_GB2312" w:eastAsia="仿宋_GB2312" w:cs="仿宋_GB2312"/>
          <w:color w:val="auto"/>
          <w:sz w:val="28"/>
          <w:szCs w:val="24"/>
        </w:rPr>
        <w:t>【以</w:t>
      </w:r>
      <w:r>
        <w:rPr>
          <w:rFonts w:hint="eastAsia" w:ascii="仿宋_GB2312" w:hAnsi="仿宋_GB2312" w:eastAsia="仿宋_GB2312" w:cs="仿宋_GB2312"/>
          <w:color w:val="auto"/>
          <w:sz w:val="28"/>
          <w:szCs w:val="24"/>
          <w:lang w:eastAsia="zh-CN"/>
        </w:rPr>
        <w:t>采购方</w:t>
      </w:r>
      <w:r>
        <w:rPr>
          <w:rFonts w:hint="eastAsia" w:ascii="仿宋_GB2312" w:hAnsi="仿宋_GB2312" w:eastAsia="仿宋_GB2312" w:cs="仿宋_GB2312"/>
          <w:color w:val="auto"/>
          <w:sz w:val="28"/>
          <w:szCs w:val="24"/>
        </w:rPr>
        <w:t>于响应截止日当天在信用中国网站</w:t>
      </w:r>
      <w:r>
        <w:rPr>
          <w:rFonts w:hint="eastAsia" w:ascii="仿宋_GB2312" w:hAnsi="仿宋_GB2312" w:eastAsia="仿宋_GB2312" w:cs="仿宋_GB2312"/>
          <w:color w:val="auto"/>
          <w:sz w:val="28"/>
          <w:szCs w:val="24"/>
          <w:lang w:eastAsia="zh-CN"/>
        </w:rPr>
        <w:t>（https://www.creditchina.gov.cn/）、</w:t>
      </w:r>
      <w:r>
        <w:rPr>
          <w:rFonts w:hint="eastAsia" w:ascii="仿宋_GB2312" w:hAnsi="仿宋_GB2312" w:eastAsia="仿宋_GB2312" w:cs="仿宋_GB2312"/>
          <w:color w:val="auto"/>
          <w:sz w:val="28"/>
          <w:szCs w:val="24"/>
        </w:rPr>
        <w:t>中国政府采购网网站</w:t>
      </w:r>
      <w:r>
        <w:rPr>
          <w:rFonts w:hint="eastAsia" w:ascii="仿宋_GB2312" w:hAnsi="仿宋_GB2312" w:eastAsia="仿宋_GB2312" w:cs="仿宋_GB2312"/>
          <w:color w:val="auto"/>
          <w:sz w:val="28"/>
          <w:szCs w:val="24"/>
          <w:lang w:eastAsia="zh-CN"/>
        </w:rPr>
        <w:t>（http://www.ccgp.gov.cn/search/cr/）</w:t>
      </w:r>
      <w:r>
        <w:rPr>
          <w:rFonts w:hint="eastAsia" w:ascii="仿宋_GB2312" w:hAnsi="仿宋_GB2312" w:eastAsia="仿宋_GB2312" w:cs="仿宋_GB2312"/>
          <w:color w:val="auto"/>
          <w:sz w:val="28"/>
          <w:szCs w:val="24"/>
        </w:rPr>
        <w:t>查询结果为准，如相关失信记录已失效，</w:t>
      </w:r>
      <w:r>
        <w:rPr>
          <w:rFonts w:hint="eastAsia" w:ascii="仿宋_GB2312" w:hAnsi="仿宋_GB2312" w:eastAsia="仿宋_GB2312" w:cs="仿宋_GB2312"/>
          <w:color w:val="auto"/>
          <w:sz w:val="28"/>
          <w:szCs w:val="24"/>
          <w:lang w:eastAsia="zh-CN"/>
        </w:rPr>
        <w:t>供应商</w:t>
      </w:r>
      <w:r>
        <w:rPr>
          <w:rFonts w:hint="eastAsia" w:ascii="仿宋_GB2312" w:hAnsi="仿宋_GB2312" w:eastAsia="仿宋_GB2312" w:cs="仿宋_GB2312"/>
          <w:color w:val="auto"/>
          <w:sz w:val="28"/>
          <w:szCs w:val="24"/>
        </w:rPr>
        <w:t>需提供相关证明资料】</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sz w:val="28"/>
          <w:szCs w:val="24"/>
          <w:lang w:eastAsia="zh-CN"/>
        </w:rPr>
        <w:sym w:font="Wingdings 2" w:char="0052"/>
      </w:r>
      <w:r>
        <w:rPr>
          <w:rFonts w:hint="eastAsia" w:ascii="仿宋_GB2312" w:hAnsi="仿宋_GB2312" w:eastAsia="仿宋_GB2312" w:cs="仿宋_GB2312"/>
          <w:color w:val="auto"/>
          <w:sz w:val="28"/>
          <w:szCs w:val="24"/>
          <w:lang w:val="en-US" w:eastAsia="zh-CN"/>
        </w:rPr>
        <w:t>4.</w:t>
      </w:r>
      <w:r>
        <w:rPr>
          <w:rFonts w:hint="eastAsia" w:ascii="仿宋_GB2312" w:hAnsi="仿宋_GB2312" w:eastAsia="仿宋_GB2312" w:cs="仿宋_GB2312"/>
          <w:color w:val="auto"/>
          <w:sz w:val="28"/>
          <w:szCs w:val="24"/>
          <w:lang w:eastAsia="zh-CN"/>
        </w:rPr>
        <w:t>供应商</w:t>
      </w:r>
      <w:r>
        <w:rPr>
          <w:rFonts w:hint="eastAsia" w:ascii="仿宋_GB2312" w:hAnsi="仿宋_GB2312" w:eastAsia="仿宋_GB2312" w:cs="仿宋_GB2312"/>
          <w:color w:val="auto"/>
          <w:kern w:val="0"/>
          <w:sz w:val="28"/>
          <w:szCs w:val="28"/>
          <w:lang w:val="en-US" w:eastAsia="zh-CN" w:bidi="ar"/>
        </w:rPr>
        <w:t>最近三年内不存在与合同有关的犯罪或严重违法行为而引起的诉讼和仲裁等纠纷；近三年不存在合同中严重违约或被有关单位列入供应商“黑名单”或“失信名单”；财产不存在被接管或冻结，不存在处于禁止或取消投标状态；不存在不良产品质量记录的情形。（提供《供应商资格声明函》）</w:t>
      </w:r>
    </w:p>
    <w:p>
      <w:pPr>
        <w:keepNext w:val="0"/>
        <w:keepLines w:val="0"/>
        <w:pageBreakBefore w:val="0"/>
        <w:widowControl w:val="0"/>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kern w:val="0"/>
          <w:sz w:val="28"/>
          <w:szCs w:val="28"/>
          <w:lang w:val="en-US" w:eastAsia="zh-CN" w:bidi="ar"/>
        </w:rPr>
      </w:pPr>
      <w:r>
        <w:rPr>
          <w:rFonts w:hint="eastAsia" w:ascii="楷体_GB2312" w:hAnsi="楷体_GB2312" w:eastAsia="楷体_GB2312" w:cs="楷体_GB2312"/>
          <w:color w:val="auto"/>
          <w:sz w:val="28"/>
          <w:szCs w:val="24"/>
          <w:lang w:val="en-US" w:eastAsia="zh-CN"/>
        </w:rPr>
        <w:t>（二）</w:t>
      </w:r>
      <w:r>
        <w:rPr>
          <w:rFonts w:hint="eastAsia" w:ascii="仿宋_GB2312" w:hAnsi="仿宋_GB2312" w:eastAsia="仿宋_GB2312" w:cs="仿宋_GB2312"/>
          <w:color w:val="auto"/>
          <w:sz w:val="28"/>
          <w:szCs w:val="24"/>
          <w:lang w:val="en-US" w:eastAsia="zh-CN"/>
        </w:rPr>
        <w:t>本项目不接受采矿许可时限剩余不足3个月（由提交响应文件当日起至采矿权许可结束之日）的海砂矿区/标段的矿业权人授权经销商或矿业权人授权经销商合法授权的分销商入库。</w:t>
      </w:r>
      <w:r>
        <w:rPr>
          <w:rFonts w:hint="eastAsia" w:ascii="仿宋_GB2312" w:hAnsi="仿宋_GB2312" w:eastAsia="仿宋_GB2312" w:cs="仿宋_GB2312"/>
          <w:color w:val="auto"/>
          <w:kern w:val="0"/>
          <w:sz w:val="28"/>
          <w:szCs w:val="28"/>
          <w:lang w:val="en-US" w:eastAsia="zh-CN" w:bidi="ar"/>
        </w:rPr>
        <w:t>（提供《供应商资格声明函》）</w:t>
      </w:r>
    </w:p>
    <w:bookmarkEnd w:id="3"/>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lang w:eastAsia="zh-CN"/>
        </w:rPr>
      </w:pPr>
      <w:r>
        <w:rPr>
          <w:rFonts w:hint="eastAsia" w:ascii="楷体_GB2312" w:hAnsi="楷体_GB2312" w:eastAsia="楷体_GB2312" w:cs="楷体_GB2312"/>
          <w:color w:val="auto"/>
          <w:sz w:val="28"/>
          <w:szCs w:val="24"/>
          <w:lang w:val="en-US" w:eastAsia="zh-CN"/>
        </w:rPr>
        <w:t>（三）</w:t>
      </w:r>
      <w:r>
        <w:rPr>
          <w:rFonts w:hint="eastAsia" w:ascii="仿宋_GB2312" w:hAnsi="仿宋_GB2312" w:eastAsia="仿宋_GB2312" w:cs="仿宋_GB2312"/>
          <w:color w:val="auto"/>
          <w:sz w:val="28"/>
          <w:szCs w:val="24"/>
        </w:rPr>
        <w:t>本次</w:t>
      </w:r>
      <w:r>
        <w:rPr>
          <w:rFonts w:hint="eastAsia" w:ascii="仿宋_GB2312" w:hAnsi="仿宋_GB2312" w:eastAsia="仿宋_GB2312" w:cs="仿宋_GB2312"/>
          <w:color w:val="auto"/>
          <w:sz w:val="28"/>
          <w:szCs w:val="24"/>
          <w:lang w:val="en-US" w:eastAsia="zh-CN"/>
        </w:rPr>
        <w:t>采购</w:t>
      </w:r>
      <w:r>
        <w:rPr>
          <w:rFonts w:hint="eastAsia" w:ascii="仿宋_GB2312" w:hAnsi="仿宋_GB2312" w:eastAsia="仿宋_GB2312" w:cs="仿宋_GB2312"/>
          <w:color w:val="auto"/>
          <w:sz w:val="28"/>
          <w:szCs w:val="24"/>
        </w:rPr>
        <w:t>项目</w:t>
      </w:r>
      <w:r>
        <w:rPr>
          <w:rFonts w:hint="eastAsia" w:ascii="仿宋_GB2312" w:hAnsi="仿宋_GB2312" w:eastAsia="仿宋_GB2312" w:cs="仿宋_GB2312"/>
          <w:color w:val="auto"/>
          <w:sz w:val="28"/>
          <w:szCs w:val="24"/>
          <w:lang w:val="en-US" w:eastAsia="zh-CN"/>
        </w:rPr>
        <w:t xml:space="preserve"> </w:t>
      </w:r>
      <w:r>
        <w:rPr>
          <w:rFonts w:hint="eastAsia" w:ascii="仿宋_GB2312" w:hAnsi="仿宋_GB2312" w:eastAsia="仿宋_GB2312" w:cs="仿宋_GB2312"/>
          <w:color w:val="auto"/>
          <w:sz w:val="28"/>
          <w:szCs w:val="24"/>
        </w:rPr>
        <w:t>□接受</w:t>
      </w:r>
      <w:r>
        <w:rPr>
          <w:rFonts w:hint="eastAsia" w:ascii="仿宋_GB2312" w:hAnsi="仿宋_GB2312" w:eastAsia="仿宋_GB2312" w:cs="仿宋_GB2312"/>
          <w:color w:val="auto"/>
          <w:sz w:val="28"/>
          <w:szCs w:val="24"/>
          <w:lang w:val="en-US" w:eastAsia="zh-CN"/>
        </w:rPr>
        <w:t xml:space="preserve"> </w:t>
      </w:r>
      <w:r>
        <w:rPr>
          <w:rFonts w:hint="eastAsia" w:ascii="仿宋_GB2312" w:hAnsi="仿宋_GB2312" w:eastAsia="仿宋_GB2312" w:cs="仿宋_GB2312"/>
          <w:color w:val="auto"/>
          <w:sz w:val="28"/>
          <w:szCs w:val="24"/>
          <w:lang w:eastAsia="zh-CN"/>
        </w:rPr>
        <w:t>☑</w:t>
      </w:r>
      <w:r>
        <w:rPr>
          <w:rFonts w:hint="eastAsia" w:ascii="仿宋_GB2312" w:hAnsi="仿宋_GB2312" w:eastAsia="仿宋_GB2312" w:cs="仿宋_GB2312"/>
          <w:color w:val="auto"/>
          <w:sz w:val="28"/>
          <w:szCs w:val="24"/>
        </w:rPr>
        <w:t>不接受联合体参加采购活动</w:t>
      </w:r>
      <w:r>
        <w:rPr>
          <w:rFonts w:hint="eastAsia" w:ascii="仿宋_GB2312" w:hAnsi="仿宋_GB2312" w:eastAsia="仿宋_GB2312" w:cs="仿宋_GB2312"/>
          <w:color w:val="auto"/>
          <w:sz w:val="28"/>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firstLine="560" w:firstLineChars="200"/>
        <w:jc w:val="left"/>
        <w:textAlignment w:val="auto"/>
        <w:rPr>
          <w:rFonts w:hint="eastAsia" w:ascii="仿宋_GB2312" w:hAnsi="仿宋_GB2312" w:eastAsia="仿宋_GB2312" w:cs="仿宋_GB2312"/>
          <w:color w:val="auto"/>
          <w:sz w:val="28"/>
          <w:szCs w:val="24"/>
          <w:lang w:val="en-US" w:eastAsia="zh-CN"/>
        </w:rPr>
      </w:pPr>
      <w:r>
        <w:rPr>
          <w:rFonts w:hint="eastAsia" w:ascii="楷体_GB2312" w:hAnsi="楷体_GB2312" w:eastAsia="楷体_GB2312" w:cs="楷体_GB2312"/>
          <w:color w:val="auto"/>
          <w:sz w:val="28"/>
          <w:szCs w:val="24"/>
          <w:lang w:val="en-US" w:eastAsia="zh-CN"/>
        </w:rPr>
        <w:t>（四）</w:t>
      </w:r>
      <w:r>
        <w:rPr>
          <w:rFonts w:hint="eastAsia" w:ascii="仿宋_GB2312" w:hAnsi="仿宋_GB2312" w:eastAsia="仿宋_GB2312" w:cs="仿宋_GB2312"/>
          <w:color w:val="auto"/>
          <w:sz w:val="28"/>
          <w:szCs w:val="24"/>
          <w:lang w:val="en-US" w:eastAsia="zh-CN"/>
        </w:rPr>
        <w:t>单位负责人为同一人或者存在控股、管理关系的不同单位，不得同时参加本项目，否则均视为无效报价。</w:t>
      </w:r>
    </w:p>
    <w:p>
      <w:pPr>
        <w:pStyle w:val="14"/>
        <w:numPr>
          <w:ilvl w:val="0"/>
          <w:numId w:val="1"/>
        </w:numPr>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采购内容</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38" w:firstLineChars="228"/>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（一）原材料类别</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38" w:firstLineChars="228"/>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天然砂石类：海砂（未淡化）</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38" w:firstLineChars="228"/>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（二）预计采购量</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790"/>
        <w:gridCol w:w="2440"/>
        <w:gridCol w:w="2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序号</w:t>
            </w:r>
          </w:p>
        </w:tc>
        <w:tc>
          <w:tcPr>
            <w:tcW w:w="279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原材料名称</w:t>
            </w:r>
          </w:p>
        </w:tc>
        <w:tc>
          <w:tcPr>
            <w:tcW w:w="244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规格</w:t>
            </w:r>
          </w:p>
        </w:tc>
        <w:tc>
          <w:tcPr>
            <w:tcW w:w="2426" w:type="dxa"/>
            <w:vAlign w:val="center"/>
          </w:tcPr>
          <w:p>
            <w:pPr>
              <w:jc w:val="center"/>
              <w:rPr>
                <w:rFonts w:hint="default" w:ascii="仿宋_GB2312" w:hAnsi="仿宋_GB2312" w:eastAsia="仿宋_GB2312" w:cs="仿宋_GB2312"/>
                <w:kern w:val="2"/>
                <w:sz w:val="28"/>
                <w:szCs w:val="28"/>
                <w:lang w:val="en-US" w:eastAsia="zh-CN" w:bidi="ar-SA"/>
              </w:rPr>
            </w:pPr>
            <w:r>
              <w:rPr>
                <w:rFonts w:hint="default" w:ascii="仿宋_GB2312" w:hAnsi="仿宋_GB2312" w:eastAsia="仿宋_GB2312" w:cs="仿宋_GB2312"/>
                <w:kern w:val="2"/>
                <w:sz w:val="28"/>
                <w:szCs w:val="28"/>
                <w:lang w:val="en-US" w:eastAsia="zh-CN" w:bidi="ar-SA"/>
              </w:rPr>
              <w:t>计划一年采购量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w:t>
            </w:r>
          </w:p>
        </w:tc>
        <w:tc>
          <w:tcPr>
            <w:tcW w:w="279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海砂（未淡化）</w:t>
            </w:r>
          </w:p>
        </w:tc>
        <w:tc>
          <w:tcPr>
            <w:tcW w:w="2440"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粗砂/</w:t>
            </w:r>
            <w:r>
              <w:rPr>
                <w:rFonts w:hint="default" w:ascii="仿宋_GB2312" w:hAnsi="仿宋_GB2312" w:eastAsia="仿宋_GB2312" w:cs="仿宋_GB2312"/>
                <w:kern w:val="2"/>
                <w:sz w:val="28"/>
                <w:szCs w:val="28"/>
                <w:lang w:val="en-US" w:eastAsia="zh-CN" w:bidi="ar-SA"/>
              </w:rPr>
              <w:t>中砂/细砂</w:t>
            </w:r>
          </w:p>
        </w:tc>
        <w:tc>
          <w:tcPr>
            <w:tcW w:w="2426" w:type="dxa"/>
            <w:vAlign w:val="center"/>
          </w:tcPr>
          <w:p>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约35万吨</w:t>
            </w:r>
          </w:p>
        </w:tc>
      </w:tr>
    </w:tbl>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38" w:firstLineChars="228"/>
        <w:textAlignment w:val="auto"/>
        <w:rPr>
          <w:rFonts w:hint="default"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说明：表中所列采购量为预估值（含所有砂源地的采购总量），实际采购量以每批次采购人发出的采购需求为准，采购人不承诺具体采购数量。</w:t>
      </w:r>
    </w:p>
    <w:p>
      <w:pPr>
        <w:pStyle w:val="14"/>
        <w:numPr>
          <w:ilvl w:val="0"/>
          <w:numId w:val="1"/>
        </w:numPr>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服务期</w:t>
      </w:r>
    </w:p>
    <w:p>
      <w:pPr>
        <w:keepNext w:val="0"/>
        <w:keepLines w:val="0"/>
        <w:pageBreakBefore w:val="0"/>
        <w:kinsoku/>
        <w:wordWrap/>
        <w:overflowPunct/>
        <w:topLinePunct w:val="0"/>
        <w:autoSpaceDE/>
        <w:autoSpaceDN/>
        <w:bidi w:val="0"/>
        <w:adjustRightInd/>
        <w:snapToGrid/>
        <w:spacing w:line="240" w:lineRule="auto"/>
        <w:ind w:left="0" w:firstLine="560" w:firstLineChars="200"/>
        <w:textAlignment w:val="auto"/>
        <w:rPr>
          <w:rFonts w:hint="default" w:ascii="仿宋_GB2312" w:hAnsi="仿宋_GB2312" w:eastAsia="仿宋_GB2312" w:cs="仿宋_GB2312"/>
          <w:color w:val="auto"/>
          <w:kern w:val="0"/>
          <w:sz w:val="28"/>
          <w:szCs w:val="28"/>
          <w:highlight w:val="none"/>
          <w:u w:val="none"/>
          <w:lang w:val="en-US" w:eastAsia="zh-CN" w:bidi="ar"/>
        </w:rPr>
      </w:pPr>
      <w:r>
        <w:rPr>
          <w:rFonts w:hint="eastAsia" w:ascii="仿宋_GB2312" w:hAnsi="仿宋_GB2312" w:eastAsia="仿宋_GB2312" w:cs="仿宋_GB2312"/>
          <w:color w:val="auto"/>
          <w:kern w:val="0"/>
          <w:sz w:val="28"/>
          <w:szCs w:val="28"/>
          <w:highlight w:val="none"/>
          <w:u w:val="none"/>
          <w:lang w:val="en-US" w:eastAsia="zh-CN" w:bidi="ar"/>
        </w:rPr>
        <w:t>自战略合同签订后1年（暂定为</w:t>
      </w: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日起</w:t>
      </w:r>
      <w:r>
        <w:rPr>
          <w:rFonts w:hint="eastAsia" w:ascii="仿宋_GB2312" w:hAnsi="仿宋_GB2312" w:eastAsia="仿宋_GB2312" w:cs="仿宋_GB2312"/>
          <w:sz w:val="32"/>
          <w:szCs w:val="32"/>
          <w:lang w:val="en-US" w:eastAsia="zh-CN"/>
        </w:rPr>
        <w:t>至2027年1</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月</w:t>
      </w:r>
      <w:r>
        <w:rPr>
          <w:rFonts w:hint="default"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color w:val="auto"/>
          <w:kern w:val="0"/>
          <w:sz w:val="28"/>
          <w:szCs w:val="28"/>
          <w:highlight w:val="none"/>
          <w:u w:val="none"/>
          <w:lang w:val="en-US" w:eastAsia="zh-CN" w:bidi="ar"/>
        </w:rPr>
        <w:t>）。</w:t>
      </w:r>
    </w:p>
    <w:p>
      <w:pPr>
        <w:pStyle w:val="14"/>
        <w:keepNext w:val="0"/>
        <w:keepLines w:val="0"/>
        <w:pageBreakBefore w:val="0"/>
        <w:numPr>
          <w:ilvl w:val="0"/>
          <w:numId w:val="1"/>
        </w:numPr>
        <w:kinsoku/>
        <w:wordWrap/>
        <w:overflowPunct/>
        <w:topLinePunct w:val="0"/>
        <w:autoSpaceDE/>
        <w:autoSpaceDN/>
        <w:bidi w:val="0"/>
        <w:adjustRightInd/>
        <w:snapToGrid/>
        <w:spacing w:line="240" w:lineRule="auto"/>
        <w:ind w:left="0"/>
        <w:textAlignment w:val="auto"/>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招募文件获取</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（一）获取时间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自 2026 年11月2日起至 2026 年11月11日 10 时 00 分止（北京时间）。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（二）获取方式</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在优盟平台交易系统、城建集团官网下载招募文件，下载路径为优盟平台交易系统（https://new.uoum.com.cn/#/portal/HomePage）、城建集团官网（https://www.fsxckf.com/）。</w:t>
      </w:r>
    </w:p>
    <w:p>
      <w:pPr>
        <w:pStyle w:val="14"/>
        <w:keepNext w:val="0"/>
        <w:keepLines w:val="0"/>
        <w:pageBreakBefore w:val="0"/>
        <w:numPr>
          <w:ilvl w:val="0"/>
          <w:numId w:val="1"/>
        </w:numPr>
        <w:kinsoku/>
        <w:wordWrap/>
        <w:overflowPunct/>
        <w:topLinePunct w:val="0"/>
        <w:autoSpaceDE/>
        <w:autoSpaceDN/>
        <w:bidi w:val="0"/>
        <w:adjustRightInd/>
        <w:snapToGrid/>
        <w:spacing w:line="240" w:lineRule="auto"/>
        <w:ind w:left="0"/>
        <w:textAlignment w:val="auto"/>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响应文件的提交</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（一）递交方式</w:t>
      </w:r>
    </w:p>
    <w:p>
      <w:pPr>
        <w:widowControl/>
        <w:numPr>
          <w:ilvl w:val="0"/>
          <w:numId w:val="0"/>
        </w:numPr>
        <w:ind w:left="0" w:firstLine="560" w:firstLineChars="200"/>
        <w:jc w:val="left"/>
        <w:rPr>
          <w:rFonts w:hint="eastAsia" w:ascii="仿宋_GB2312" w:hAnsi="仿宋_GB2312" w:eastAsia="仿宋_GB2312" w:cs="仿宋_GB2312"/>
          <w:color w:val="auto"/>
          <w:kern w:val="0"/>
          <w:sz w:val="28"/>
          <w:szCs w:val="28"/>
          <w:highlight w:val="none"/>
          <w:u w:val="none"/>
          <w:lang w:bidi="ar"/>
        </w:rPr>
      </w:pPr>
      <w:r>
        <w:rPr>
          <w:rFonts w:hint="eastAsia" w:ascii="仿宋_GB2312" w:hAnsi="仿宋_GB2312" w:eastAsia="仿宋_GB2312" w:cs="仿宋_GB2312"/>
          <w:color w:val="auto"/>
          <w:kern w:val="0"/>
          <w:sz w:val="28"/>
          <w:szCs w:val="28"/>
          <w:highlight w:val="none"/>
          <w:u w:val="none"/>
          <w:lang w:bidi="ar"/>
        </w:rPr>
        <w:t>供应商可选择以下任一方式递交：</w:t>
      </w:r>
    </w:p>
    <w:p>
      <w:pPr>
        <w:widowControl/>
        <w:numPr>
          <w:ilvl w:val="0"/>
          <w:numId w:val="0"/>
        </w:numPr>
        <w:ind w:left="0" w:firstLine="560" w:firstLineChars="200"/>
        <w:jc w:val="left"/>
        <w:rPr>
          <w:rFonts w:hint="eastAsia" w:ascii="仿宋_GB2312" w:hAnsi="仿宋_GB2312" w:eastAsia="仿宋_GB2312" w:cs="仿宋_GB2312"/>
          <w:color w:val="auto"/>
          <w:kern w:val="0"/>
          <w:sz w:val="28"/>
          <w:szCs w:val="28"/>
          <w:highlight w:val="none"/>
          <w:u w:val="none"/>
          <w:lang w:bidi="ar"/>
        </w:rPr>
      </w:pPr>
      <w:r>
        <w:rPr>
          <w:rFonts w:hint="eastAsia" w:ascii="仿宋_GB2312" w:hAnsi="仿宋_GB2312" w:eastAsia="仿宋_GB2312" w:cs="仿宋_GB2312"/>
          <w:color w:val="auto"/>
          <w:kern w:val="0"/>
          <w:sz w:val="28"/>
          <w:szCs w:val="28"/>
          <w:highlight w:val="none"/>
          <w:u w:val="none"/>
          <w:lang w:val="en-US" w:eastAsia="zh-CN" w:bidi="ar"/>
        </w:rPr>
        <w:t>1.</w:t>
      </w:r>
      <w:r>
        <w:rPr>
          <w:rFonts w:hint="eastAsia" w:ascii="仿宋_GB2312" w:hAnsi="仿宋_GB2312" w:eastAsia="仿宋_GB2312" w:cs="仿宋_GB2312"/>
          <w:color w:val="auto"/>
          <w:kern w:val="0"/>
          <w:sz w:val="28"/>
          <w:szCs w:val="28"/>
          <w:highlight w:val="none"/>
          <w:u w:val="none"/>
          <w:lang w:bidi="ar"/>
        </w:rPr>
        <w:t>邮寄递交（以快递签收时间为准）；</w:t>
      </w:r>
    </w:p>
    <w:p>
      <w:pPr>
        <w:widowControl/>
        <w:numPr>
          <w:ilvl w:val="0"/>
          <w:numId w:val="0"/>
        </w:numPr>
        <w:ind w:left="0" w:firstLine="560" w:firstLineChars="200"/>
        <w:jc w:val="left"/>
        <w:rPr>
          <w:rFonts w:hint="eastAsia" w:ascii="仿宋_GB2312" w:hAnsi="仿宋_GB2312" w:eastAsia="仿宋_GB2312" w:cs="仿宋_GB2312"/>
          <w:color w:val="auto"/>
          <w:kern w:val="0"/>
          <w:sz w:val="28"/>
          <w:szCs w:val="28"/>
          <w:highlight w:val="none"/>
          <w:u w:val="none"/>
          <w:lang w:val="en-US" w:eastAsia="zh-CN" w:bidi="ar"/>
        </w:rPr>
      </w:pPr>
      <w:r>
        <w:rPr>
          <w:rFonts w:hint="eastAsia" w:ascii="仿宋_GB2312" w:hAnsi="仿宋_GB2312" w:eastAsia="仿宋_GB2312" w:cs="仿宋_GB2312"/>
          <w:color w:val="auto"/>
          <w:kern w:val="0"/>
          <w:sz w:val="28"/>
          <w:szCs w:val="28"/>
          <w:highlight w:val="none"/>
          <w:u w:val="none"/>
          <w:lang w:val="en-US" w:eastAsia="zh-CN" w:bidi="ar"/>
        </w:rPr>
        <w:t>2.</w:t>
      </w:r>
      <w:r>
        <w:rPr>
          <w:rFonts w:hint="eastAsia" w:ascii="仿宋_GB2312" w:hAnsi="仿宋_GB2312" w:eastAsia="仿宋_GB2312" w:cs="仿宋_GB2312"/>
          <w:color w:val="auto"/>
          <w:kern w:val="0"/>
          <w:sz w:val="28"/>
          <w:szCs w:val="28"/>
          <w:highlight w:val="none"/>
          <w:u w:val="none"/>
          <w:lang w:bidi="ar"/>
        </w:rPr>
        <w:t>现场递交（以现场接收登记时间为准）。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（二）递交响应文件截止时间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 xml:space="preserve"> 2026 年11月11日 10 时 00 分（北京时间），如采用现场提交方式的供应商，可于当日 9 时 30 分至10 时 00 分（北京时间）至指定位置提交。</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（三）递交地址</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
        </w:rPr>
      </w:pPr>
      <w:r>
        <w:rPr>
          <w:rFonts w:hint="eastAsia" w:ascii="仿宋_GB2312" w:hAnsi="仿宋_GB2312" w:eastAsia="仿宋_GB2312" w:cs="仿宋_GB2312"/>
          <w:b w:val="0"/>
          <w:bCs w:val="0"/>
          <w:color w:val="auto"/>
          <w:kern w:val="0"/>
          <w:sz w:val="28"/>
          <w:szCs w:val="28"/>
          <w:highlight w:val="none"/>
          <w:u w:val="none"/>
          <w:lang w:val="en-US" w:eastAsia="zh-CN" w:bidi="ar"/>
        </w:rPr>
        <w:t>广东省佛山市顺德区北滘镇高村村裕和东路102号1号楼8楼会议室。</w:t>
      </w:r>
    </w:p>
    <w:p>
      <w:pPr>
        <w:widowControl/>
        <w:numPr>
          <w:ilvl w:val="0"/>
          <w:numId w:val="0"/>
        </w:numPr>
        <w:ind w:left="0" w:firstLine="560" w:firstLineChars="200"/>
        <w:jc w:val="left"/>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（四）响应文件提交注意事项</w:t>
      </w:r>
    </w:p>
    <w:p>
      <w:pPr>
        <w:widowControl/>
        <w:numPr>
          <w:ilvl w:val="0"/>
          <w:numId w:val="0"/>
        </w:numPr>
        <w:ind w:firstLine="560" w:firstLineChars="200"/>
        <w:jc w:val="left"/>
        <w:rPr>
          <w:rFonts w:hint="eastAsia" w:ascii="仿宋_GB2312" w:hAnsi="仿宋_GB2312" w:eastAsia="仿宋_GB2312" w:cs="仿宋_GB2312"/>
          <w:color w:val="auto"/>
          <w:kern w:val="0"/>
          <w:sz w:val="28"/>
          <w:szCs w:val="28"/>
          <w:highlight w:val="none"/>
          <w:u w:val="none"/>
          <w:lang w:bidi="ar"/>
        </w:rPr>
      </w:pPr>
      <w:r>
        <w:rPr>
          <w:rFonts w:hint="eastAsia" w:ascii="仿宋_GB2312" w:hAnsi="仿宋_GB2312" w:eastAsia="仿宋_GB2312" w:cs="仿宋_GB2312"/>
          <w:color w:val="auto"/>
          <w:kern w:val="0"/>
          <w:sz w:val="28"/>
          <w:szCs w:val="28"/>
          <w:highlight w:val="none"/>
          <w:u w:val="none"/>
          <w:lang w:val="en-US" w:eastAsia="zh-CN" w:bidi="ar"/>
        </w:rPr>
        <w:t>1.</w:t>
      </w:r>
      <w:bookmarkStart w:id="4" w:name="OLE_LINK3"/>
      <w:r>
        <w:rPr>
          <w:rFonts w:hint="eastAsia" w:ascii="仿宋_GB2312" w:hAnsi="仿宋_GB2312" w:eastAsia="仿宋_GB2312" w:cs="仿宋_GB2312"/>
          <w:color w:val="auto"/>
          <w:kern w:val="0"/>
          <w:sz w:val="28"/>
          <w:szCs w:val="28"/>
          <w:highlight w:val="none"/>
          <w:u w:val="none"/>
          <w:lang w:bidi="ar"/>
        </w:rPr>
        <w:t>邮寄递交的，</w:t>
      </w:r>
      <w:bookmarkEnd w:id="4"/>
      <w:r>
        <w:rPr>
          <w:rFonts w:hint="eastAsia" w:ascii="仿宋_GB2312" w:hAnsi="仿宋_GB2312" w:eastAsia="仿宋_GB2312" w:cs="仿宋_GB2312"/>
          <w:color w:val="auto"/>
          <w:kern w:val="0"/>
          <w:sz w:val="28"/>
          <w:szCs w:val="28"/>
          <w:highlight w:val="none"/>
          <w:u w:val="none"/>
          <w:lang w:bidi="ar"/>
        </w:rPr>
        <w:t>响应文件</w:t>
      </w:r>
      <w:r>
        <w:rPr>
          <w:rFonts w:hint="eastAsia" w:ascii="仿宋_GB2312" w:hAnsi="仿宋_GB2312" w:eastAsia="仿宋_GB2312" w:cs="仿宋_GB2312"/>
          <w:color w:val="auto"/>
          <w:kern w:val="0"/>
          <w:sz w:val="28"/>
          <w:szCs w:val="28"/>
          <w:highlight w:val="none"/>
          <w:u w:val="none"/>
          <w:lang w:eastAsia="zh-CN" w:bidi="ar"/>
        </w:rPr>
        <w:t>应</w:t>
      </w:r>
      <w:r>
        <w:rPr>
          <w:rFonts w:hint="eastAsia" w:ascii="仿宋_GB2312" w:hAnsi="仿宋_GB2312" w:eastAsia="仿宋_GB2312" w:cs="仿宋_GB2312"/>
          <w:color w:val="auto"/>
          <w:kern w:val="0"/>
          <w:sz w:val="28"/>
          <w:szCs w:val="28"/>
          <w:highlight w:val="none"/>
          <w:u w:val="none"/>
          <w:lang w:bidi="ar"/>
        </w:rPr>
        <w:t>另行使用防水、防压的快递外包装进行保护。因快递过程中的破损、遗失、延误等一切风险由供应商自行承担。</w:t>
      </w:r>
    </w:p>
    <w:p>
      <w:pPr>
        <w:widowControl/>
        <w:numPr>
          <w:ilvl w:val="0"/>
          <w:numId w:val="0"/>
        </w:numPr>
        <w:ind w:firstLine="560" w:firstLineChars="200"/>
        <w:jc w:val="left"/>
        <w:rPr>
          <w:rFonts w:hint="eastAsia" w:ascii="仿宋_GB2312" w:hAnsi="仿宋_GB2312" w:eastAsia="仿宋_GB2312" w:cs="仿宋_GB2312"/>
          <w:color w:val="auto"/>
          <w:kern w:val="0"/>
          <w:sz w:val="28"/>
          <w:szCs w:val="28"/>
          <w:highlight w:val="none"/>
          <w:u w:val="none"/>
          <w:lang w:val="en-US" w:eastAsia="zh-CN" w:bidi="ar"/>
        </w:rPr>
      </w:pPr>
      <w:r>
        <w:rPr>
          <w:rFonts w:hint="eastAsia" w:ascii="仿宋_GB2312" w:hAnsi="仿宋_GB2312" w:eastAsia="仿宋_GB2312" w:cs="仿宋_GB2312"/>
          <w:color w:val="auto"/>
          <w:kern w:val="0"/>
          <w:sz w:val="28"/>
          <w:szCs w:val="28"/>
          <w:highlight w:val="none"/>
          <w:u w:val="none"/>
          <w:lang w:val="en-US" w:eastAsia="zh-CN" w:bidi="ar"/>
        </w:rPr>
        <w:t>2.</w:t>
      </w:r>
      <w:r>
        <w:rPr>
          <w:rFonts w:hint="eastAsia" w:ascii="仿宋_GB2312" w:hAnsi="仿宋_GB2312" w:eastAsia="仿宋_GB2312" w:cs="仿宋_GB2312"/>
          <w:color w:val="auto"/>
          <w:kern w:val="0"/>
          <w:sz w:val="28"/>
          <w:szCs w:val="28"/>
          <w:highlight w:val="none"/>
          <w:u w:val="none"/>
          <w:lang w:bidi="ar"/>
        </w:rPr>
        <w:t>邮寄递交的，</w:t>
      </w:r>
      <w:r>
        <w:rPr>
          <w:rFonts w:hint="eastAsia" w:ascii="仿宋_GB2312" w:hAnsi="仿宋_GB2312" w:eastAsia="仿宋_GB2312" w:cs="仿宋_GB2312"/>
          <w:color w:val="auto"/>
          <w:kern w:val="0"/>
          <w:sz w:val="28"/>
          <w:szCs w:val="28"/>
          <w:highlight w:val="none"/>
          <w:u w:val="none"/>
          <w:lang w:val="en-US" w:eastAsia="zh-CN" w:bidi="ar"/>
        </w:rPr>
        <w:t>建议供应商预留充足的邮寄在途时间，并选择</w:t>
      </w:r>
      <w:r>
        <w:rPr>
          <w:rFonts w:hint="eastAsia" w:ascii="仿宋_GB2312" w:hAnsi="仿宋_GB2312" w:eastAsia="仿宋_GB2312" w:cs="仿宋_GB2312"/>
          <w:color w:val="auto"/>
          <w:kern w:val="0"/>
          <w:sz w:val="28"/>
          <w:szCs w:val="28"/>
          <w:highlight w:val="none"/>
          <w:u w:val="none"/>
          <w:lang w:bidi="ar"/>
        </w:rPr>
        <w:t>邮寄运送时间有保障的快递公司</w:t>
      </w:r>
      <w:r>
        <w:rPr>
          <w:rFonts w:hint="eastAsia" w:ascii="仿宋_GB2312" w:hAnsi="仿宋_GB2312" w:eastAsia="仿宋_GB2312" w:cs="仿宋_GB2312"/>
          <w:color w:val="auto"/>
          <w:kern w:val="0"/>
          <w:sz w:val="28"/>
          <w:szCs w:val="28"/>
          <w:highlight w:val="none"/>
          <w:u w:val="none"/>
          <w:lang w:val="en-US" w:eastAsia="zh-CN" w:bidi="ar"/>
        </w:rPr>
        <w:t>。</w:t>
      </w:r>
    </w:p>
    <w:p>
      <w:pPr>
        <w:widowControl/>
        <w:numPr>
          <w:ilvl w:val="0"/>
          <w:numId w:val="0"/>
        </w:numPr>
        <w:ind w:firstLine="560" w:firstLineChars="200"/>
        <w:jc w:val="left"/>
        <w:rPr>
          <w:rFonts w:hint="eastAsia" w:ascii="仿宋_GB2312" w:hAnsi="仿宋_GB2312" w:eastAsia="仿宋_GB2312" w:cs="仿宋_GB2312"/>
          <w:color w:val="auto"/>
          <w:kern w:val="0"/>
          <w:sz w:val="28"/>
          <w:szCs w:val="28"/>
          <w:highlight w:val="none"/>
          <w:u w:val="none"/>
          <w:lang w:val="en-US" w:eastAsia="zh-CN" w:bidi="ar"/>
        </w:rPr>
      </w:pPr>
      <w:r>
        <w:rPr>
          <w:rFonts w:hint="eastAsia" w:ascii="仿宋_GB2312" w:hAnsi="仿宋_GB2312" w:eastAsia="仿宋_GB2312" w:cs="仿宋_GB2312"/>
          <w:color w:val="auto"/>
          <w:kern w:val="0"/>
          <w:sz w:val="28"/>
          <w:szCs w:val="28"/>
          <w:highlight w:val="none"/>
          <w:u w:val="none"/>
          <w:lang w:val="en-US" w:eastAsia="zh-CN" w:bidi="ar"/>
        </w:rPr>
        <w:t>3.现场递交的，供应商须派代表携带有效身份证明，在递交现场办理签到和登记手续。递交完成后，代表即可离开。</w:t>
      </w:r>
    </w:p>
    <w:p>
      <w:pPr>
        <w:pStyle w:val="14"/>
        <w:numPr>
          <w:ilvl w:val="0"/>
          <w:numId w:val="1"/>
        </w:numPr>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发布媒体</w:t>
      </w:r>
    </w:p>
    <w:p>
      <w:pPr>
        <w:pStyle w:val="14"/>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eastAsia" w:ascii="仿宋_GB2312" w:hAnsi="仿宋_GB2312" w:eastAsia="仿宋_GB2312" w:cs="仿宋_GB2312"/>
          <w:color w:val="auto"/>
          <w:kern w:val="0"/>
          <w:sz w:val="28"/>
          <w:szCs w:val="28"/>
          <w:lang w:val="en-US" w:bidi="ar"/>
        </w:rPr>
      </w:pPr>
      <w:r>
        <w:rPr>
          <w:rFonts w:hint="eastAsia" w:ascii="仿宋_GB2312" w:hAnsi="仿宋_GB2312" w:eastAsia="仿宋_GB2312" w:cs="仿宋_GB2312"/>
          <w:b w:val="0"/>
          <w:bCs w:val="0"/>
          <w:color w:val="auto"/>
          <w:kern w:val="0"/>
          <w:sz w:val="28"/>
          <w:szCs w:val="28"/>
          <w:highlight w:val="none"/>
          <w:u w:val="none"/>
          <w:lang w:val="en-US" w:eastAsia="zh-CN" w:bidi="ar"/>
        </w:rPr>
        <w:t>优盟平台交易系统（https://new.uoum.com.cn/#/portal/HomePage）、城建集团官网（https://www.fsxckf.com/）</w:t>
      </w:r>
      <w:r>
        <w:rPr>
          <w:rFonts w:hint="eastAsia" w:ascii="仿宋_GB2312" w:hAnsi="仿宋_GB2312" w:eastAsia="仿宋_GB2312" w:cs="仿宋_GB2312"/>
          <w:color w:val="auto"/>
          <w:kern w:val="0"/>
          <w:sz w:val="28"/>
          <w:szCs w:val="28"/>
          <w:lang w:val="en-US" w:bidi="ar"/>
        </w:rPr>
        <w:t>。</w:t>
      </w:r>
    </w:p>
    <w:p>
      <w:pPr>
        <w:pStyle w:val="14"/>
        <w:numPr>
          <w:ilvl w:val="0"/>
          <w:numId w:val="1"/>
        </w:numPr>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其他</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1.本项目通过优盟平台交易系统、城建集团官网下载招募文件、发布澄清说明及补正等功能。各供应商应随时关注项目信息，及时下载相关文件，否则所造成的一切后果由供应商自负。</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bidi="ar"/>
        </w:rPr>
      </w:pPr>
      <w:r>
        <w:rPr>
          <w:rFonts w:hint="eastAsia" w:ascii="仿宋_GB2312" w:hAnsi="仿宋_GB2312" w:eastAsia="仿宋_GB2312" w:cs="仿宋_GB2312"/>
          <w:color w:val="auto"/>
          <w:kern w:val="0"/>
          <w:sz w:val="28"/>
          <w:szCs w:val="28"/>
          <w:lang w:val="en-US" w:eastAsia="zh-CN" w:bidi="ar"/>
        </w:rPr>
        <w:t>2.逾期递交的响应文件，采购人将予以拒收</w:t>
      </w:r>
      <w:r>
        <w:rPr>
          <w:rFonts w:hint="eastAsia" w:ascii="仿宋_GB2312" w:hAnsi="仿宋_GB2312" w:eastAsia="仿宋_GB2312" w:cs="仿宋_GB2312"/>
          <w:color w:val="auto"/>
          <w:kern w:val="0"/>
          <w:sz w:val="28"/>
          <w:szCs w:val="28"/>
          <w:lang w:val="en-US" w:bidi="ar"/>
        </w:rPr>
        <w:t>。</w:t>
      </w:r>
    </w:p>
    <w:p>
      <w:pPr>
        <w:pStyle w:val="14"/>
        <w:numPr>
          <w:ilvl w:val="0"/>
          <w:numId w:val="1"/>
        </w:numPr>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附件</w:t>
      </w:r>
    </w:p>
    <w:p>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bidi="ar"/>
        </w:rPr>
      </w:pPr>
      <w:r>
        <w:rPr>
          <w:rFonts w:hint="eastAsia" w:ascii="仿宋_GB2312" w:hAnsi="仿宋_GB2312" w:eastAsia="仿宋_GB2312" w:cs="仿宋_GB2312"/>
          <w:color w:val="auto"/>
          <w:kern w:val="0"/>
          <w:sz w:val="28"/>
          <w:szCs w:val="28"/>
          <w:lang w:val="en-US" w:eastAsia="zh-CN" w:bidi="ar"/>
        </w:rPr>
        <w:t>1.</w:t>
      </w:r>
      <w:r>
        <w:rPr>
          <w:rFonts w:hint="eastAsia" w:ascii="仿宋_GB2312" w:hAnsi="仿宋_GB2312" w:eastAsia="仿宋_GB2312" w:cs="仿宋_GB2312"/>
          <w:color w:val="auto"/>
          <w:kern w:val="0"/>
          <w:sz w:val="28"/>
          <w:szCs w:val="28"/>
          <w:lang w:bidi="ar"/>
        </w:rPr>
        <w:t>佛山市顺博城市发展有限公司顺德区绿色低碳建材项目海砂原材料采购项目供应商入库框架协议</w:t>
      </w:r>
    </w:p>
    <w:p>
      <w:pPr>
        <w:pStyle w:val="14"/>
        <w:numPr>
          <w:ilvl w:val="0"/>
          <w:numId w:val="1"/>
        </w:numPr>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采购方联系方式</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Style w:val="82"/>
          <w:rFonts w:hint="eastAsia" w:ascii="仿宋_GB2312" w:hAnsi="仿宋_GB2312" w:eastAsia="仿宋_GB2312" w:cs="仿宋_GB2312"/>
          <w:color w:val="auto"/>
          <w:sz w:val="28"/>
          <w:szCs w:val="28"/>
          <w:lang w:eastAsia="zh-CN" w:bidi="ar"/>
        </w:rPr>
      </w:pPr>
      <w:r>
        <w:rPr>
          <w:rStyle w:val="82"/>
          <w:rFonts w:hint="eastAsia" w:ascii="仿宋_GB2312" w:hAnsi="仿宋_GB2312" w:eastAsia="仿宋_GB2312" w:cs="仿宋_GB2312"/>
          <w:color w:val="auto"/>
          <w:sz w:val="28"/>
          <w:szCs w:val="28"/>
          <w:lang w:bidi="ar"/>
        </w:rPr>
        <w:t>采购</w:t>
      </w:r>
      <w:r>
        <w:rPr>
          <w:rStyle w:val="82"/>
          <w:rFonts w:hint="eastAsia" w:ascii="仿宋_GB2312" w:hAnsi="仿宋_GB2312" w:eastAsia="仿宋_GB2312" w:cs="仿宋_GB2312"/>
          <w:color w:val="auto"/>
          <w:sz w:val="28"/>
          <w:szCs w:val="28"/>
          <w:lang w:val="en-US" w:eastAsia="zh-CN" w:bidi="ar"/>
        </w:rPr>
        <w:t>方</w:t>
      </w:r>
      <w:r>
        <w:rPr>
          <w:rStyle w:val="82"/>
          <w:rFonts w:hint="eastAsia" w:ascii="仿宋_GB2312" w:hAnsi="仿宋_GB2312" w:eastAsia="仿宋_GB2312" w:cs="仿宋_GB2312"/>
          <w:color w:val="auto"/>
          <w:sz w:val="28"/>
          <w:szCs w:val="28"/>
          <w:lang w:bidi="ar"/>
        </w:rPr>
        <w:t>：</w:t>
      </w:r>
      <w:r>
        <w:rPr>
          <w:rFonts w:hint="eastAsia" w:ascii="仿宋_GB2312" w:hAnsi="仿宋_GB2312" w:eastAsia="仿宋_GB2312" w:cs="仿宋_GB2312"/>
          <w:color w:val="auto"/>
          <w:kern w:val="0"/>
          <w:sz w:val="28"/>
          <w:szCs w:val="28"/>
          <w:highlight w:val="none"/>
          <w:u w:val="none"/>
          <w:lang w:val="en-US" w:eastAsia="zh-CN" w:bidi="ar"/>
        </w:rPr>
        <w:t>佛山市顺博城市发展有限公司</w:t>
      </w:r>
      <w:r>
        <w:rPr>
          <w:rStyle w:val="82"/>
          <w:rFonts w:hint="eastAsia" w:ascii="仿宋_GB2312" w:hAnsi="仿宋_GB2312" w:eastAsia="仿宋_GB2312" w:cs="仿宋_GB2312"/>
          <w:color w:val="auto"/>
          <w:sz w:val="28"/>
          <w:szCs w:val="28"/>
          <w:highlight w:val="none"/>
          <w:lang w:bidi="ar"/>
        </w:rPr>
        <w:t xml:space="preserve">  </w:t>
      </w:r>
      <w:r>
        <w:rPr>
          <w:rStyle w:val="82"/>
          <w:rFonts w:hint="eastAsia" w:ascii="仿宋_GB2312" w:hAnsi="仿宋_GB2312" w:eastAsia="仿宋_GB2312" w:cs="仿宋_GB2312"/>
          <w:color w:val="auto"/>
          <w:sz w:val="28"/>
          <w:szCs w:val="28"/>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Style w:val="82"/>
          <w:rFonts w:hint="eastAsia" w:ascii="仿宋_GB2312" w:hAnsi="仿宋_GB2312" w:eastAsia="仿宋_GB2312" w:cs="仿宋_GB2312"/>
          <w:color w:val="auto"/>
          <w:sz w:val="28"/>
          <w:szCs w:val="28"/>
          <w:lang w:eastAsia="zh-CN" w:bidi="ar"/>
        </w:rPr>
      </w:pPr>
      <w:r>
        <w:rPr>
          <w:rStyle w:val="82"/>
          <w:rFonts w:hint="eastAsia" w:ascii="仿宋_GB2312" w:hAnsi="仿宋_GB2312" w:eastAsia="仿宋_GB2312" w:cs="仿宋_GB2312"/>
          <w:color w:val="auto"/>
          <w:sz w:val="28"/>
          <w:szCs w:val="28"/>
          <w:lang w:bidi="ar"/>
        </w:rPr>
        <w:t>地点：</w:t>
      </w:r>
      <w:r>
        <w:rPr>
          <w:rFonts w:hint="eastAsia" w:ascii="仿宋_GB2312" w:hAnsi="仿宋_GB2312" w:eastAsia="仿宋_GB2312" w:cs="仿宋_GB2312"/>
          <w:color w:val="auto"/>
          <w:kern w:val="2"/>
          <w:sz w:val="28"/>
          <w:szCs w:val="28"/>
          <w:u w:val="none"/>
          <w:lang w:val="en-US" w:eastAsia="zh-CN" w:bidi="ar"/>
        </w:rPr>
        <w:t>广东省佛山市顺德区北滘镇高村村裕和东路102号1号楼8楼</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eastAsia="zh-CN" w:bidi="ar"/>
        </w:rPr>
        <w:t>采购</w:t>
      </w:r>
      <w:r>
        <w:rPr>
          <w:rFonts w:hint="eastAsia" w:ascii="仿宋_GB2312" w:hAnsi="仿宋_GB2312" w:eastAsia="仿宋_GB2312" w:cs="仿宋_GB2312"/>
          <w:color w:val="auto"/>
          <w:kern w:val="0"/>
          <w:sz w:val="28"/>
          <w:szCs w:val="28"/>
          <w:lang w:bidi="ar"/>
        </w:rPr>
        <w:t>联系人：</w:t>
      </w:r>
      <w:r>
        <w:rPr>
          <w:rFonts w:hint="eastAsia" w:ascii="仿宋_GB2312" w:hAnsi="仿宋_GB2312" w:eastAsia="仿宋_GB2312" w:cs="仿宋_GB2312"/>
          <w:color w:val="auto"/>
          <w:kern w:val="0"/>
          <w:sz w:val="28"/>
          <w:szCs w:val="28"/>
          <w:lang w:eastAsia="zh-CN" w:bidi="ar"/>
        </w:rPr>
        <w:t>何工</w:t>
      </w:r>
      <w:r>
        <w:rPr>
          <w:rFonts w:hint="eastAsia" w:ascii="仿宋_GB2312" w:hAnsi="仿宋_GB2312" w:eastAsia="仿宋_GB2312" w:cs="仿宋_GB2312"/>
          <w:color w:val="auto"/>
          <w:kern w:val="0"/>
          <w:sz w:val="28"/>
          <w:szCs w:val="28"/>
          <w:lang w:bidi="ar"/>
        </w:rPr>
        <w:t xml:space="preserve">  </w:t>
      </w:r>
      <w:r>
        <w:rPr>
          <w:rFonts w:hint="eastAsia" w:ascii="仿宋_GB2312" w:hAnsi="仿宋_GB2312" w:eastAsia="仿宋_GB2312" w:cs="仿宋_GB2312"/>
          <w:color w:val="auto"/>
          <w:kern w:val="0"/>
          <w:sz w:val="28"/>
          <w:szCs w:val="28"/>
          <w:lang w:val="en-US" w:eastAsia="zh-CN" w:bidi="ar"/>
        </w:rPr>
        <w:t xml:space="preserve"> (0757) 2890 8012 / 136 2010 3421</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bidi="ar"/>
        </w:rPr>
        <w:t>项目联系人：</w:t>
      </w:r>
      <w:r>
        <w:rPr>
          <w:rFonts w:hint="eastAsia" w:ascii="仿宋_GB2312" w:hAnsi="仿宋_GB2312" w:eastAsia="仿宋_GB2312" w:cs="仿宋_GB2312"/>
          <w:color w:val="auto"/>
          <w:kern w:val="0"/>
          <w:sz w:val="28"/>
          <w:szCs w:val="28"/>
          <w:lang w:eastAsia="zh-CN" w:bidi="ar"/>
        </w:rPr>
        <w:t>郭先生</w:t>
      </w:r>
      <w:r>
        <w:rPr>
          <w:rFonts w:hint="eastAsia" w:ascii="仿宋_GB2312" w:hAnsi="仿宋_GB2312" w:eastAsia="仿宋_GB2312" w:cs="仿宋_GB2312"/>
          <w:color w:val="auto"/>
          <w:kern w:val="0"/>
          <w:sz w:val="28"/>
          <w:szCs w:val="28"/>
          <w:lang w:val="en-US" w:eastAsia="zh-CN" w:bidi="ar"/>
        </w:rPr>
        <w:t xml:space="preserve">   </w:t>
      </w:r>
      <w:r>
        <w:rPr>
          <w:rFonts w:hint="eastAsia" w:ascii="仿宋_GB2312" w:hAnsi="仿宋_GB2312" w:eastAsia="仿宋_GB2312" w:cs="仿宋_GB2312"/>
          <w:color w:val="auto"/>
          <w:kern w:val="0"/>
          <w:sz w:val="28"/>
          <w:szCs w:val="28"/>
          <w:lang w:bidi="ar"/>
        </w:rPr>
        <w:t>136 9520 8920</w:t>
      </w:r>
    </w:p>
    <w:p>
      <w:pPr>
        <w:pStyle w:val="14"/>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发布时间：2026年11月2日</w:t>
      </w:r>
    </w:p>
    <w:p>
      <w:pPr>
        <w:pStyle w:val="5"/>
        <w:ind w:left="0" w:leftChars="0" w:firstLine="4620" w:firstLineChars="1925"/>
        <w:jc w:val="both"/>
        <w:rPr>
          <w:rFonts w:hint="eastAsia"/>
          <w:color w:val="auto"/>
          <w:sz w:val="24"/>
          <w:szCs w:val="24"/>
        </w:rPr>
        <w:sectPr>
          <w:pgSz w:w="11906" w:h="16838"/>
          <w:pgMar w:top="1440" w:right="1800" w:bottom="1440" w:left="1800" w:header="851" w:footer="992" w:gutter="0"/>
          <w:pgNumType w:fmt="decimal"/>
          <w:cols w:space="425" w:num="1"/>
          <w:docGrid w:type="lines" w:linePitch="312" w:charSpace="0"/>
        </w:sectPr>
      </w:pPr>
    </w:p>
    <w:p>
      <w:pPr>
        <w:pStyle w:val="14"/>
        <w:numPr>
          <w:ilvl w:val="0"/>
          <w:numId w:val="0"/>
        </w:numPr>
        <w:spacing w:line="240" w:lineRule="auto"/>
        <w:ind w:left="0" w:leftChars="0" w:firstLine="0" w:firstLineChars="0"/>
        <w:jc w:val="center"/>
        <w:outlineLvl w:val="0"/>
        <w:rPr>
          <w:rFonts w:hint="eastAsia" w:ascii="黑体" w:hAnsi="黑体" w:eastAsia="黑体" w:cs="黑体"/>
          <w:color w:val="auto"/>
          <w:kern w:val="0"/>
          <w:sz w:val="32"/>
          <w:szCs w:val="32"/>
          <w:lang w:val="en-US" w:eastAsia="zh-CN" w:bidi="ar"/>
        </w:rPr>
      </w:pPr>
      <w:bookmarkStart w:id="5" w:name="_Toc16288"/>
      <w:bookmarkStart w:id="6" w:name="_Toc12417"/>
      <w:r>
        <w:rPr>
          <w:rFonts w:hint="eastAsia" w:ascii="黑体" w:hAnsi="黑体" w:eastAsia="黑体" w:cs="黑体"/>
          <w:color w:val="auto"/>
          <w:kern w:val="0"/>
          <w:sz w:val="32"/>
          <w:szCs w:val="32"/>
          <w:lang w:val="en-US" w:eastAsia="zh-CN" w:bidi="ar"/>
        </w:rPr>
        <w:t>第二章 供应商须知</w:t>
      </w:r>
      <w:bookmarkEnd w:id="5"/>
    </w:p>
    <w:p>
      <w:pPr>
        <w:pStyle w:val="14"/>
        <w:numPr>
          <w:ilvl w:val="0"/>
          <w:numId w:val="0"/>
        </w:numPr>
        <w:spacing w:line="240" w:lineRule="auto"/>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spacing w:line="240" w:lineRule="auto"/>
        <w:ind w:left="0" w:leftChars="0" w:firstLine="0" w:firstLineChars="0"/>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一、对供应商的资格要求：</w:t>
      </w:r>
      <w:r>
        <w:rPr>
          <w:rFonts w:hint="eastAsia" w:ascii="仿宋_GB2312" w:hAnsi="仿宋_GB2312" w:eastAsia="仿宋_GB2312" w:cs="仿宋_GB2312"/>
          <w:color w:val="auto"/>
          <w:kern w:val="0"/>
          <w:sz w:val="28"/>
          <w:szCs w:val="28"/>
          <w:lang w:val="en-US" w:eastAsia="zh-CN" w:bidi="ar"/>
        </w:rPr>
        <w:t>见第一章第一款</w:t>
      </w:r>
    </w:p>
    <w:p>
      <w:pPr>
        <w:pStyle w:val="14"/>
        <w:numPr>
          <w:ilvl w:val="0"/>
          <w:numId w:val="0"/>
        </w:numPr>
        <w:spacing w:line="240" w:lineRule="auto"/>
        <w:ind w:left="0" w:leftChars="0" w:firstLine="0" w:firstLineChars="0"/>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二、本次采购一般规则：</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（一）供应商选取</w:t>
      </w:r>
    </w:p>
    <w:p>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同一砂源地矿区/标段入选的矿业权人或矿业权人授权经销商或矿业权人授权经销商合法授权的分销商不超过1家。</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若同一砂源地矿区/标段出现两个或两个以上不同层级的供应商同时响应，按以下优先级顺序择优选择入库：第一优先级：矿业权人；第二优先级：矿业权人授权经销商；第三优先级：矿业权人授权经销商合法授权的分销商。优先级的认定以供应商提供的授权链条证明文件为准，授权链条须完整清晰，可溯源至源头矿业权人。</w:t>
      </w:r>
      <w:bookmarkStart w:id="7" w:name="OLE_LINK5"/>
      <w:r>
        <w:rPr>
          <w:rFonts w:hint="eastAsia" w:ascii="仿宋_GB2312" w:hAnsi="仿宋_GB2312" w:eastAsia="仿宋_GB2312" w:cs="仿宋_GB2312"/>
          <w:color w:val="auto"/>
          <w:kern w:val="0"/>
          <w:sz w:val="28"/>
          <w:szCs w:val="28"/>
          <w:lang w:val="en-US" w:eastAsia="zh-CN" w:bidi="ar"/>
        </w:rPr>
        <w:t>采购人有权根据授权层级及授权链完整性，确定该矿区/标段的唯一入库供应商。</w:t>
      </w:r>
      <w:bookmarkEnd w:id="7"/>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2.若成交人放弃入库资格，或被采购人取消入库资格，采购人有权按照上述定选方式确认下一位成交人，或重新开展招募活动。】</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（二）响应文件有效期</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color w:val="auto"/>
          <w:kern w:val="0"/>
          <w:sz w:val="28"/>
          <w:szCs w:val="28"/>
          <w:lang w:val="en-US" w:eastAsia="zh-CN" w:bidi="ar"/>
        </w:rPr>
      </w:pPr>
      <w:r>
        <w:rPr>
          <w:rFonts w:hint="eastAsia" w:ascii="楷体_GB2312" w:hAnsi="楷体_GB2312" w:eastAsia="楷体_GB2312" w:cs="楷体_GB2312"/>
          <w:color w:val="auto"/>
          <w:kern w:val="0"/>
          <w:sz w:val="28"/>
          <w:szCs w:val="28"/>
          <w:lang w:val="en-US" w:eastAsia="zh-CN" w:bidi="ar"/>
        </w:rPr>
        <w:t xml:space="preserve"> </w:t>
      </w:r>
      <w:r>
        <w:rPr>
          <w:rFonts w:hint="eastAsia" w:ascii="楷体_GB2312" w:hAnsi="楷体_GB2312" w:eastAsia="楷体_GB2312" w:cs="楷体_GB2312"/>
          <w:color w:val="auto"/>
          <w:kern w:val="0"/>
          <w:sz w:val="28"/>
          <w:szCs w:val="28"/>
          <w:u w:val="single"/>
          <w:lang w:val="en-US" w:eastAsia="zh-CN" w:bidi="ar"/>
        </w:rPr>
        <w:t xml:space="preserve">90  </w:t>
      </w:r>
      <w:r>
        <w:rPr>
          <w:rFonts w:hint="eastAsia" w:ascii="楷体_GB2312" w:hAnsi="楷体_GB2312" w:eastAsia="楷体_GB2312" w:cs="楷体_GB2312"/>
          <w:color w:val="auto"/>
          <w:kern w:val="0"/>
          <w:sz w:val="28"/>
          <w:szCs w:val="28"/>
          <w:u w:val="none"/>
          <w:lang w:val="en-US" w:eastAsia="zh-CN" w:bidi="ar"/>
        </w:rPr>
        <w:t>个</w:t>
      </w:r>
      <w:r>
        <w:rPr>
          <w:rFonts w:hint="eastAsia" w:ascii="楷体_GB2312" w:hAnsi="楷体_GB2312" w:eastAsia="楷体_GB2312" w:cs="楷体_GB2312"/>
          <w:color w:val="auto"/>
          <w:kern w:val="0"/>
          <w:sz w:val="28"/>
          <w:szCs w:val="28"/>
          <w:lang w:val="en-US" w:eastAsia="zh-CN" w:bidi="ar"/>
        </w:rPr>
        <w:t>日历天（从响应文件递交截止日算起）</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（三）响应文件份数</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√电子文件 1 份（</w:t>
      </w:r>
      <w:r>
        <w:rPr>
          <w:rFonts w:hint="eastAsia" w:ascii="仿宋_GB2312" w:hAnsi="仿宋_GB2312" w:eastAsia="仿宋_GB2312" w:cs="仿宋_GB2312"/>
          <w:color w:val="auto"/>
          <w:kern w:val="0"/>
          <w:sz w:val="28"/>
          <w:szCs w:val="28"/>
          <w:lang w:val="en-US" w:eastAsia="zh-CN" w:bidi="ar"/>
        </w:rPr>
        <w:t>U盘</w:t>
      </w:r>
      <w:r>
        <w:rPr>
          <w:rFonts w:hint="default" w:ascii="仿宋_GB2312" w:hAnsi="仿宋_GB2312" w:eastAsia="仿宋_GB2312" w:cs="仿宋_GB2312"/>
          <w:color w:val="auto"/>
          <w:kern w:val="0"/>
          <w:sz w:val="28"/>
          <w:szCs w:val="28"/>
          <w:lang w:val="en-US" w:eastAsia="zh-CN" w:bidi="ar"/>
        </w:rPr>
        <w:t>）。</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√纸质文件 1 份。</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w:t>
      </w:r>
      <w:r>
        <w:rPr>
          <w:rFonts w:hint="default" w:ascii="仿宋_GB2312" w:hAnsi="仿宋_GB2312" w:eastAsia="仿宋_GB2312" w:cs="仿宋_GB2312"/>
          <w:color w:val="auto"/>
          <w:kern w:val="0"/>
          <w:sz w:val="28"/>
          <w:szCs w:val="28"/>
          <w:lang w:val="en-US" w:eastAsia="zh-CN" w:bidi="ar"/>
        </w:rPr>
        <w:t>注：①响应文件</w:t>
      </w:r>
      <w:r>
        <w:rPr>
          <w:rFonts w:hint="eastAsia" w:ascii="仿宋_GB2312" w:hAnsi="仿宋_GB2312" w:eastAsia="仿宋_GB2312" w:cs="仿宋_GB2312"/>
          <w:color w:val="auto"/>
          <w:kern w:val="0"/>
          <w:sz w:val="28"/>
          <w:szCs w:val="28"/>
          <w:lang w:val="en-US" w:eastAsia="zh-CN" w:bidi="ar"/>
        </w:rPr>
        <w:t>按要求</w:t>
      </w:r>
      <w:r>
        <w:rPr>
          <w:rFonts w:hint="default" w:ascii="仿宋_GB2312" w:hAnsi="仿宋_GB2312" w:eastAsia="仿宋_GB2312" w:cs="仿宋_GB2312"/>
          <w:color w:val="auto"/>
          <w:kern w:val="0"/>
          <w:sz w:val="28"/>
          <w:szCs w:val="28"/>
          <w:lang w:val="en-US" w:eastAsia="zh-CN" w:bidi="ar"/>
        </w:rPr>
        <w:t>签字盖章，</w:t>
      </w:r>
      <w:r>
        <w:rPr>
          <w:rFonts w:hint="eastAsia" w:ascii="仿宋_GB2312" w:hAnsi="仿宋_GB2312" w:eastAsia="仿宋_GB2312" w:cs="仿宋_GB2312"/>
          <w:color w:val="auto"/>
          <w:kern w:val="0"/>
          <w:sz w:val="28"/>
          <w:szCs w:val="28"/>
          <w:lang w:val="en-US" w:eastAsia="zh-CN" w:bidi="ar"/>
        </w:rPr>
        <w:t>内容</w:t>
      </w:r>
      <w:r>
        <w:rPr>
          <w:rFonts w:hint="default" w:ascii="仿宋_GB2312" w:hAnsi="仿宋_GB2312" w:eastAsia="仿宋_GB2312" w:cs="仿宋_GB2312"/>
          <w:color w:val="auto"/>
          <w:kern w:val="0"/>
          <w:sz w:val="28"/>
          <w:szCs w:val="28"/>
          <w:lang w:val="en-US" w:eastAsia="zh-CN" w:bidi="ar"/>
        </w:rPr>
        <w:t>必须清晰可辨。②随纸质响应文件一并递交的电子文件以U盘为载体，U盘中响应文件电子版内容为响应文件正本签字盖章后的PDF格式</w:t>
      </w:r>
      <w:r>
        <w:rPr>
          <w:rFonts w:hint="eastAsia" w:ascii="仿宋_GB2312" w:hAnsi="仿宋_GB2312" w:eastAsia="仿宋_GB2312" w:cs="仿宋_GB2312"/>
          <w:color w:val="auto"/>
          <w:kern w:val="0"/>
          <w:sz w:val="28"/>
          <w:szCs w:val="28"/>
          <w:lang w:val="en-US" w:eastAsia="zh-CN" w:bidi="ar"/>
        </w:rPr>
        <w:t>或</w:t>
      </w:r>
      <w:r>
        <w:rPr>
          <w:rFonts w:hint="default" w:ascii="仿宋_GB2312" w:hAnsi="仿宋_GB2312" w:eastAsia="仿宋_GB2312" w:cs="仿宋_GB2312"/>
          <w:color w:val="auto"/>
          <w:kern w:val="0"/>
          <w:sz w:val="28"/>
          <w:szCs w:val="28"/>
          <w:lang w:val="en-US" w:eastAsia="zh-CN" w:bidi="ar"/>
        </w:rPr>
        <w:t>可编辑的响应文件正本WORD（或EXCEL）格式电子文件。</w:t>
      </w:r>
      <w:r>
        <w:rPr>
          <w:rFonts w:hint="eastAsia" w:ascii="仿宋_GB2312" w:hAnsi="仿宋_GB2312" w:eastAsia="仿宋_GB2312" w:cs="仿宋_GB2312"/>
          <w:color w:val="auto"/>
          <w:kern w:val="0"/>
          <w:sz w:val="28"/>
          <w:szCs w:val="28"/>
          <w:lang w:val="en-US" w:eastAsia="zh-CN" w:bidi="ar"/>
        </w:rPr>
        <w:t>】</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（四）响应文件的密封和标记</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响应文件采用装订方式，装订应牢固、不易拆散和换页。如</w:t>
      </w:r>
      <w:r>
        <w:rPr>
          <w:rFonts w:hint="eastAsia" w:ascii="仿宋_GB2312" w:hAnsi="仿宋_GB2312" w:eastAsia="仿宋_GB2312" w:cs="仿宋_GB2312"/>
          <w:color w:val="auto"/>
          <w:kern w:val="0"/>
          <w:sz w:val="28"/>
          <w:szCs w:val="28"/>
          <w:lang w:val="en-US" w:eastAsia="zh-CN" w:bidi="ar"/>
        </w:rPr>
        <w:t>响应</w:t>
      </w:r>
      <w:r>
        <w:rPr>
          <w:rFonts w:hint="default" w:ascii="仿宋_GB2312" w:hAnsi="仿宋_GB2312" w:eastAsia="仿宋_GB2312" w:cs="仿宋_GB2312"/>
          <w:color w:val="auto"/>
          <w:kern w:val="0"/>
          <w:sz w:val="28"/>
          <w:szCs w:val="28"/>
          <w:lang w:val="en-US" w:eastAsia="zh-CN" w:bidi="ar"/>
        </w:rPr>
        <w:t>文件过厚可分册装订，但必须标明分册顺序。响应文件应在密封处加盖公章，封皮应注明：</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 xml:space="preserve">  项目名称：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 xml:space="preserve">  供应商名称：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 xml:space="preserve">  供应商地址：                                        </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 xml:space="preserve">  供应商联系人及联系方式：</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（五）响应文件提交</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本项目采用邮寄递交</w:t>
      </w:r>
      <w:r>
        <w:rPr>
          <w:rFonts w:hint="eastAsia" w:ascii="仿宋_GB2312" w:hAnsi="仿宋_GB2312" w:eastAsia="仿宋_GB2312" w:cs="仿宋_GB2312"/>
          <w:color w:val="auto"/>
          <w:kern w:val="0"/>
          <w:sz w:val="28"/>
          <w:szCs w:val="28"/>
          <w:lang w:val="en-US" w:eastAsia="zh-CN" w:bidi="ar"/>
        </w:rPr>
        <w:t>/</w:t>
      </w:r>
      <w:r>
        <w:rPr>
          <w:rFonts w:hint="default" w:ascii="仿宋_GB2312" w:hAnsi="仿宋_GB2312" w:eastAsia="仿宋_GB2312" w:cs="仿宋_GB2312"/>
          <w:color w:val="auto"/>
          <w:kern w:val="0"/>
          <w:sz w:val="28"/>
          <w:szCs w:val="28"/>
          <w:lang w:val="en-US" w:eastAsia="zh-CN" w:bidi="ar"/>
        </w:rPr>
        <w:t>现场递交响应文件的方式。响应文件送达地址：见</w:t>
      </w:r>
      <w:r>
        <w:rPr>
          <w:rFonts w:hint="eastAsia" w:ascii="仿宋_GB2312" w:hAnsi="仿宋_GB2312" w:eastAsia="仿宋_GB2312" w:cs="仿宋_GB2312"/>
          <w:color w:val="auto"/>
          <w:kern w:val="0"/>
          <w:sz w:val="28"/>
          <w:szCs w:val="28"/>
          <w:lang w:val="en-US" w:eastAsia="zh-CN" w:bidi="ar"/>
        </w:rPr>
        <w:t>招募</w:t>
      </w:r>
      <w:r>
        <w:rPr>
          <w:rFonts w:hint="default" w:ascii="仿宋_GB2312" w:hAnsi="仿宋_GB2312" w:eastAsia="仿宋_GB2312" w:cs="仿宋_GB2312"/>
          <w:color w:val="auto"/>
          <w:kern w:val="0"/>
          <w:sz w:val="28"/>
          <w:szCs w:val="28"/>
          <w:lang w:val="en-US" w:eastAsia="zh-CN" w:bidi="ar"/>
        </w:rPr>
        <w:t>公告</w:t>
      </w:r>
      <w:r>
        <w:rPr>
          <w:rFonts w:hint="eastAsia" w:ascii="仿宋_GB2312" w:hAnsi="仿宋_GB2312" w:eastAsia="仿宋_GB2312" w:cs="仿宋_GB2312"/>
          <w:color w:val="auto"/>
          <w:kern w:val="0"/>
          <w:sz w:val="28"/>
          <w:szCs w:val="28"/>
          <w:lang w:val="en-US" w:eastAsia="zh-CN" w:bidi="ar"/>
        </w:rPr>
        <w:t>第五条。</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（六）响应文件开启会议</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会议时间：同响应截止时间；</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会议地点：</w:t>
      </w:r>
      <w:r>
        <w:rPr>
          <w:rFonts w:hint="eastAsia" w:ascii="仿宋_GB2312" w:hAnsi="仿宋_GB2312" w:eastAsia="仿宋_GB2312" w:cs="仿宋_GB2312"/>
          <w:color w:val="auto"/>
          <w:kern w:val="0"/>
          <w:sz w:val="28"/>
          <w:szCs w:val="28"/>
          <w:lang w:val="en-US" w:eastAsia="zh-CN" w:bidi="ar"/>
        </w:rPr>
        <w:t>招募</w:t>
      </w:r>
      <w:r>
        <w:rPr>
          <w:rFonts w:hint="default" w:ascii="仿宋_GB2312" w:hAnsi="仿宋_GB2312" w:eastAsia="仿宋_GB2312" w:cs="仿宋_GB2312"/>
          <w:color w:val="auto"/>
          <w:kern w:val="0"/>
          <w:sz w:val="28"/>
          <w:szCs w:val="28"/>
          <w:lang w:val="en-US" w:eastAsia="zh-CN" w:bidi="ar"/>
        </w:rPr>
        <w:t>公告中指定地点</w:t>
      </w:r>
      <w:r>
        <w:rPr>
          <w:rFonts w:hint="eastAsia" w:ascii="仿宋_GB2312" w:hAnsi="仿宋_GB2312" w:eastAsia="仿宋_GB2312" w:cs="仿宋_GB2312"/>
          <w:color w:val="auto"/>
          <w:kern w:val="0"/>
          <w:sz w:val="28"/>
          <w:szCs w:val="28"/>
          <w:lang w:val="en-US" w:eastAsia="zh-CN" w:bidi="ar"/>
        </w:rPr>
        <w:t>。</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（七）开启文件前的密封检查</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密封情况检查顺序：随机</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文件开启顺序：随机</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（八）供应商考察</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采购人组织对通过资格审查的供应商进行现场考察，考察内容主要包括：</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1.主体资质核实：核对供应商营业执照、采矿许可证/不动产登记证、授权链条文件（经销/代理合同、授权书等）原件，确保权属清晰、授权链完整可溯。</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2.砂源矿区/标段核查：核实矿区/标段的合法开采状态，查验自然资源主管部门出具的出让文件、安全生产许可资料、采矿许可期限、年度开采计划及剩余可采储量，确认矿区/标段未被列入关停或整合名单。</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3.生产及加工能力：实地查看海砂开采设备、淡化处理设施（如适用）、堆场仓储条件，评估其日产能、月供应能力是否满足采购人批量需求，并核查环保及安全合规情况。</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4.质量检测与管控体系：检查供应商内部质检实验室或委托检测协议，查看近一年内第三方检测报告原件，评估其质量内控标准是否覆盖氯离子含量、含泥量、贝壳含量、颗粒级配等关键指标，并核实检测设备、人员资质及记录档案。</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5.物流运输与溯源能力：核查供应商自有或合作的运输船舶/车辆资质、GPS监控系统、电子运单管理系统或区块链存证平台，验证其能否实现每批次货物从砂源地至交货点的全流程轨迹可追溯。</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6.履约信誉及财务状况：通过“信用中国”、中国政府采购网等平台复核供应商信用记录，查阅近三年财务报表或银行资信证明，评估其资金实力及有无重大诉讼、仲裁或违约记录。</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考察结束后，由采购人出具《供应商现场考察评价表》，明确考察结论（合格/不合格）。考察合格的供应商进入入库保证金缴纳及框架协议签订环节；考察不合格的，书面告知原因并取消其入库资格。采购人保留对考察中发现的疑点要求供应商补充说明或提供进一步佐证材料的权利。</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（九）入库保证金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bookmarkStart w:id="8" w:name="OLE_LINK4"/>
      <w:r>
        <w:rPr>
          <w:rFonts w:hint="default" w:ascii="仿宋_GB2312" w:hAnsi="仿宋_GB2312" w:eastAsia="仿宋_GB2312" w:cs="仿宋_GB2312"/>
          <w:color w:val="auto"/>
          <w:kern w:val="0"/>
          <w:sz w:val="28"/>
          <w:szCs w:val="28"/>
          <w:lang w:val="en-US" w:eastAsia="zh-CN" w:bidi="ar"/>
        </w:rPr>
        <w:t>供应商须在收到成交通知书后5个工作日内缴纳入库保证金，入库保证金为</w:t>
      </w:r>
      <w:r>
        <w:rPr>
          <w:rFonts w:hint="eastAsia" w:ascii="仿宋_GB2312" w:hAnsi="仿宋_GB2312" w:eastAsia="仿宋_GB2312" w:cs="仿宋_GB2312"/>
          <w:color w:val="auto"/>
          <w:kern w:val="0"/>
          <w:sz w:val="28"/>
          <w:szCs w:val="28"/>
          <w:lang w:val="en-US" w:eastAsia="zh-CN" w:bidi="ar"/>
        </w:rPr>
        <w:t>￥20000.00元</w:t>
      </w:r>
      <w:bookmarkEnd w:id="8"/>
      <w:r>
        <w:rPr>
          <w:rFonts w:hint="eastAsia" w:ascii="仿宋_GB2312" w:hAnsi="仿宋_GB2312" w:eastAsia="仿宋_GB2312" w:cs="仿宋_GB2312"/>
          <w:color w:val="auto"/>
          <w:kern w:val="0"/>
          <w:sz w:val="28"/>
          <w:szCs w:val="28"/>
          <w:lang w:val="en-US" w:eastAsia="zh-CN" w:bidi="ar"/>
        </w:rPr>
        <w:t>（大写：人民币贰万元整）</w:t>
      </w:r>
      <w:r>
        <w:rPr>
          <w:rFonts w:hint="default" w:ascii="仿宋_GB2312" w:hAnsi="仿宋_GB2312" w:eastAsia="仿宋_GB2312" w:cs="仿宋_GB2312"/>
          <w:color w:val="auto"/>
          <w:kern w:val="0"/>
          <w:sz w:val="28"/>
          <w:szCs w:val="28"/>
          <w:lang w:val="en-US" w:eastAsia="zh-CN" w:bidi="ar"/>
        </w:rPr>
        <w:t>。</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未按时缴纳保证金的，视为自动放弃入库及参与后续报价资格。</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w:t>
      </w:r>
      <w:r>
        <w:rPr>
          <w:rFonts w:hint="default" w:ascii="仿宋_GB2312" w:hAnsi="仿宋_GB2312" w:eastAsia="仿宋_GB2312" w:cs="仿宋_GB2312"/>
          <w:color w:val="auto"/>
          <w:kern w:val="0"/>
          <w:sz w:val="28"/>
          <w:szCs w:val="28"/>
          <w:lang w:val="en-US" w:eastAsia="zh-CN" w:bidi="ar"/>
        </w:rPr>
        <w:t>供应商申请退库时，若无违约记录或未发生保证金扣除情形，保证金在退库手续办结后30天内无息退还。</w:t>
      </w:r>
    </w:p>
    <w:p>
      <w:pPr>
        <w:ind w:firstLine="560" w:firstLineChars="200"/>
        <w:rPr>
          <w:rFonts w:hint="default"/>
          <w:lang w:val="en-US" w:eastAsia="zh-CN"/>
        </w:rPr>
      </w:pPr>
      <w:r>
        <w:rPr>
          <w:rFonts w:hint="eastAsia" w:ascii="仿宋_GB2312" w:hAnsi="仿宋_GB2312" w:eastAsia="仿宋_GB2312" w:cs="仿宋_GB2312"/>
          <w:color w:val="auto"/>
          <w:kern w:val="0"/>
          <w:sz w:val="28"/>
          <w:szCs w:val="28"/>
          <w:lang w:val="en-US" w:eastAsia="zh-CN" w:bidi="ar"/>
        </w:rPr>
        <w:t>4.合同结束后，</w:t>
      </w:r>
      <w:r>
        <w:rPr>
          <w:rFonts w:hint="default" w:ascii="仿宋_GB2312" w:hAnsi="仿宋_GB2312" w:eastAsia="仿宋_GB2312" w:cs="仿宋_GB2312"/>
          <w:color w:val="auto"/>
          <w:kern w:val="0"/>
          <w:sz w:val="28"/>
          <w:szCs w:val="28"/>
          <w:lang w:val="en-US" w:eastAsia="zh-CN" w:bidi="ar"/>
        </w:rPr>
        <w:t>若无违约记录或未发生保证金扣除情形，保证金在退库手续办结后30天内无息退还。</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（十）签订书面合同</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成交通知书发出后，30个日历天内和成交人签订《采购框架协议》。</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2.成交人</w:t>
      </w:r>
      <w:r>
        <w:rPr>
          <w:rFonts w:hint="default" w:ascii="仿宋_GB2312" w:hAnsi="仿宋_GB2312" w:eastAsia="仿宋_GB2312" w:cs="仿宋_GB2312"/>
          <w:color w:val="auto"/>
          <w:kern w:val="0"/>
          <w:sz w:val="28"/>
          <w:szCs w:val="28"/>
          <w:lang w:val="en-US" w:eastAsia="zh-CN" w:bidi="ar"/>
        </w:rPr>
        <w:t>未按时签订框架协议的，视为自动放弃入库及参与后续报价资格</w:t>
      </w:r>
      <w:r>
        <w:rPr>
          <w:rFonts w:hint="eastAsia" w:ascii="仿宋_GB2312" w:hAnsi="仿宋_GB2312" w:eastAsia="仿宋_GB2312" w:cs="仿宋_GB2312"/>
          <w:color w:val="auto"/>
          <w:kern w:val="0"/>
          <w:sz w:val="28"/>
          <w:szCs w:val="28"/>
          <w:lang w:val="en-US" w:eastAsia="zh-CN" w:bidi="ar"/>
        </w:rPr>
        <w:t>，采购人有权扣除全部供应商缴纳的入库保证金</w:t>
      </w:r>
      <w:r>
        <w:rPr>
          <w:rFonts w:hint="default" w:ascii="仿宋_GB2312" w:hAnsi="仿宋_GB2312" w:eastAsia="仿宋_GB2312" w:cs="仿宋_GB2312"/>
          <w:color w:val="auto"/>
          <w:kern w:val="0"/>
          <w:sz w:val="28"/>
          <w:szCs w:val="28"/>
          <w:lang w:val="en-US" w:eastAsia="zh-CN" w:bidi="ar"/>
        </w:rPr>
        <w:t>。</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（十一）签订三方溯源协议</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成交人须与采购人签订三方溯源协议（矿业权人—供应商—采购人）/（矿业权人授权经销商—供应商—采购人），明确各方权责，确保每一批次海砂来源均可追溯至具体砂源地对应的矿区，并约定违规供应的违约责任。</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（十二）注册会员</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成交人应在收到成交通知书</w:t>
      </w:r>
      <w:r>
        <w:rPr>
          <w:rFonts w:hint="default" w:ascii="仿宋_GB2312" w:hAnsi="仿宋_GB2312" w:eastAsia="仿宋_GB2312" w:cs="仿宋_GB2312"/>
          <w:color w:val="auto"/>
          <w:kern w:val="0"/>
          <w:sz w:val="28"/>
          <w:szCs w:val="28"/>
          <w:lang w:val="en-US" w:eastAsia="zh-CN" w:bidi="ar"/>
        </w:rPr>
        <w:t>后7个工作日内注册成为优盟平台交易系统会员（注册费用由供应商自行承担），否则视为自动放弃入库资格</w:t>
      </w:r>
      <w:r>
        <w:rPr>
          <w:rFonts w:hint="eastAsia" w:ascii="仿宋_GB2312" w:hAnsi="仿宋_GB2312" w:eastAsia="仿宋_GB2312" w:cs="仿宋_GB2312"/>
          <w:color w:val="auto"/>
          <w:kern w:val="0"/>
          <w:sz w:val="28"/>
          <w:szCs w:val="28"/>
          <w:lang w:val="en-US" w:eastAsia="zh-CN" w:bidi="ar"/>
        </w:rPr>
        <w:t>。</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eastAsia"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（十三）供应商动态管理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若某一矿区/标段因政策调整、资源枯竭、许可证到期等原因无法继续合法正常开采的，该矿区/标段对应的入库供应商资格自动暂停或终止，采购人有权取消其已承接的未执行的采购计划。</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若有新增矿区/标段的，采购人可通过邀请矿业权人或矿业权人指定的经销商/代理商或矿业权人指定的经销商/代理商合法授权的分销商入库。</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（十四）采购成交确定机制</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1</w:t>
      </w:r>
      <w:r>
        <w:rPr>
          <w:rFonts w:hint="eastAsia" w:ascii="仿宋_GB2312" w:hAnsi="仿宋_GB2312" w:eastAsia="仿宋_GB2312" w:cs="仿宋_GB2312"/>
          <w:color w:val="auto"/>
          <w:kern w:val="0"/>
          <w:sz w:val="28"/>
          <w:szCs w:val="28"/>
          <w:lang w:val="en-US" w:eastAsia="zh-CN" w:bidi="ar"/>
        </w:rPr>
        <w:t>.</w:t>
      </w:r>
      <w:r>
        <w:rPr>
          <w:rFonts w:hint="default" w:ascii="仿宋_GB2312" w:hAnsi="仿宋_GB2312" w:eastAsia="仿宋_GB2312" w:cs="仿宋_GB2312"/>
          <w:color w:val="auto"/>
          <w:kern w:val="0"/>
          <w:sz w:val="28"/>
          <w:szCs w:val="28"/>
          <w:lang w:val="en-US" w:eastAsia="zh-CN" w:bidi="ar"/>
        </w:rPr>
        <w:t>采购人确定每批次采购需求量、规格要求、砂源矿区/标段后，通过优盟平台直接向对应砂源矿区/标段的入库供应商或所有入库供应商进行询价。</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2</w:t>
      </w:r>
      <w:r>
        <w:rPr>
          <w:rFonts w:hint="eastAsia" w:ascii="仿宋_GB2312" w:hAnsi="仿宋_GB2312" w:eastAsia="仿宋_GB2312" w:cs="仿宋_GB2312"/>
          <w:color w:val="auto"/>
          <w:kern w:val="0"/>
          <w:sz w:val="28"/>
          <w:szCs w:val="28"/>
          <w:lang w:val="en-US" w:eastAsia="zh-CN" w:bidi="ar"/>
        </w:rPr>
        <w:t>.</w:t>
      </w:r>
      <w:r>
        <w:rPr>
          <w:rFonts w:hint="default" w:ascii="仿宋_GB2312" w:hAnsi="仿宋_GB2312" w:eastAsia="仿宋_GB2312" w:cs="仿宋_GB2312"/>
          <w:color w:val="auto"/>
          <w:kern w:val="0"/>
          <w:sz w:val="28"/>
          <w:szCs w:val="28"/>
          <w:lang w:val="en-US" w:eastAsia="zh-CN" w:bidi="ar"/>
        </w:rPr>
        <w:t>供应商在规定时间内进行报价（报价须为不含税价），报价应包含原材料费、运输费、装卸费、保险费、利润、税金及其他一切相关费用。</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3</w:t>
      </w:r>
      <w:r>
        <w:rPr>
          <w:rFonts w:hint="eastAsia" w:ascii="仿宋_GB2312" w:hAnsi="仿宋_GB2312" w:eastAsia="仿宋_GB2312" w:cs="仿宋_GB2312"/>
          <w:color w:val="auto"/>
          <w:kern w:val="0"/>
          <w:sz w:val="28"/>
          <w:szCs w:val="28"/>
          <w:lang w:val="en-US" w:eastAsia="zh-CN" w:bidi="ar"/>
        </w:rPr>
        <w:t>.</w:t>
      </w:r>
      <w:r>
        <w:rPr>
          <w:rFonts w:hint="default" w:ascii="仿宋_GB2312" w:hAnsi="仿宋_GB2312" w:eastAsia="仿宋_GB2312" w:cs="仿宋_GB2312"/>
          <w:color w:val="auto"/>
          <w:kern w:val="0"/>
          <w:sz w:val="28"/>
          <w:szCs w:val="28"/>
          <w:lang w:val="en-US" w:eastAsia="zh-CN" w:bidi="ar"/>
        </w:rPr>
        <w:t>每批次供货期可视实际使用量相应缩短或延长，确定中选价格后，当批次内价格原则上不再进行调整。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（十五）定价参考机制</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采购人有权在询价前公布参考价格或价格区间（可参考第三方造价咨询单位出具的采购预算价格或市场询价），供应商报价超出合理区间的，采购人有权要求供应商书面说明理由或视为无效报价。</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（十六）价格调整机制</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如遇国家政策性调价、资源税调整、运输政策重大变化等客观因素导致原材料成本发生重大波动（波动幅度超过±10%），供应商或采购人可提出价格调整申请，提供充分佐证材料，经双方协商一致并签署补充协议后执行调整。</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除上述情况外，当批次确认的供货价格在供货期内不予调整。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（十七）结算方式</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预付款</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每批次采购均不设置预付款。</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验收规定和结算</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2.1</w:t>
      </w:r>
      <w:r>
        <w:rPr>
          <w:rFonts w:hint="default" w:ascii="仿宋_GB2312" w:hAnsi="仿宋_GB2312" w:eastAsia="仿宋_GB2312" w:cs="仿宋_GB2312"/>
          <w:color w:val="auto"/>
          <w:kern w:val="0"/>
          <w:sz w:val="28"/>
          <w:szCs w:val="28"/>
          <w:lang w:val="en-US" w:eastAsia="zh-CN" w:bidi="ar"/>
        </w:rPr>
        <w:t>在原材料运抵采购人指定地点，经采购人验收合格（含数量验收、质量抽检、一般为5个工作日内）并收到供应商开具的合规发票后15个工作日内支付合同的90%，供应商须同步完成卸货工作。剩余10%在本批次货物全部投用后，并收到供应商开具的合规发票后10个工作日内支付。</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2.2</w:t>
      </w:r>
      <w:r>
        <w:rPr>
          <w:rFonts w:hint="default" w:ascii="仿宋_GB2312" w:hAnsi="仿宋_GB2312" w:eastAsia="仿宋_GB2312" w:cs="仿宋_GB2312"/>
          <w:color w:val="auto"/>
          <w:kern w:val="0"/>
          <w:sz w:val="28"/>
          <w:szCs w:val="28"/>
          <w:lang w:val="en-US" w:eastAsia="zh-CN" w:bidi="ar"/>
        </w:rPr>
        <w:t>验收不合格的，采购人有权拒收并退回，相关运费及损失由供应商承担。</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w:t>
      </w:r>
      <w:r>
        <w:rPr>
          <w:rFonts w:hint="default" w:ascii="仿宋_GB2312" w:hAnsi="仿宋_GB2312" w:eastAsia="仿宋_GB2312" w:cs="仿宋_GB2312"/>
          <w:color w:val="auto"/>
          <w:kern w:val="0"/>
          <w:sz w:val="28"/>
          <w:szCs w:val="28"/>
          <w:lang w:val="en-US" w:eastAsia="zh-CN" w:bidi="ar"/>
        </w:rPr>
        <w:t>计量单位和方法</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3.1</w:t>
      </w:r>
      <w:r>
        <w:rPr>
          <w:rFonts w:hint="default" w:ascii="仿宋_GB2312" w:hAnsi="仿宋_GB2312" w:eastAsia="仿宋_GB2312" w:cs="仿宋_GB2312"/>
          <w:color w:val="auto"/>
          <w:kern w:val="0"/>
          <w:sz w:val="28"/>
          <w:szCs w:val="28"/>
          <w:lang w:val="en-US" w:eastAsia="zh-CN" w:bidi="ar"/>
        </w:rPr>
        <w:t>按重量进行计量，计量单位为吨；货物交货计量时，可用汽车地量衡或船舶吃水线或船舱容方量为依据进行初步测定，计算公式如下：</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3.1.1</w:t>
      </w:r>
      <w:r>
        <w:rPr>
          <w:rFonts w:hint="default" w:ascii="仿宋_GB2312" w:hAnsi="仿宋_GB2312" w:eastAsia="仿宋_GB2312" w:cs="仿宋_GB2312"/>
          <w:color w:val="auto"/>
          <w:kern w:val="0"/>
          <w:sz w:val="28"/>
          <w:szCs w:val="28"/>
          <w:lang w:val="en-US" w:eastAsia="zh-CN" w:bidi="ar"/>
        </w:rPr>
        <w:t>按官方海事官方公式计算</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载货吨数 = 船长×船宽×（负载吃水高度-空载吃水高度）×方模系数-油水吨数</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a、船长、船宽、空载吃水高度三项数据按《船舶安全与环保设备记录》上数据为准；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b、方模系数：直板运沙船0.85、圆舭老沙船0.75；</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c、油水吨数:40吨。</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3.1.2</w:t>
      </w:r>
      <w:r>
        <w:rPr>
          <w:rFonts w:hint="default" w:ascii="仿宋_GB2312" w:hAnsi="仿宋_GB2312" w:eastAsia="仿宋_GB2312" w:cs="仿宋_GB2312"/>
          <w:color w:val="auto"/>
          <w:kern w:val="0"/>
          <w:sz w:val="28"/>
          <w:szCs w:val="28"/>
          <w:lang w:val="en-US" w:eastAsia="zh-CN" w:bidi="ar"/>
        </w:rPr>
        <w:t>按舱容方量折算</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载货吨数=舱内长×舱内宽×装货高度×舱型系数×砂石密度</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a、砂石密度：干砂1.40吨/立方米、湿砂1.53 吨/立方米，最终按采购人检测报告列明密度为准；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b、平直舱型系数：系数0.94；两头收窄沙船舱型系数：0.88；</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c、舱内长、舱内宽两项数据按《船舶安全与环保设备记录》上数据为准。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3.1.3</w:t>
      </w:r>
      <w:r>
        <w:rPr>
          <w:rFonts w:hint="default" w:ascii="仿宋_GB2312" w:hAnsi="仿宋_GB2312" w:eastAsia="仿宋_GB2312" w:cs="仿宋_GB2312"/>
          <w:color w:val="auto"/>
          <w:kern w:val="0"/>
          <w:sz w:val="28"/>
          <w:szCs w:val="28"/>
          <w:lang w:val="en-US" w:eastAsia="zh-CN" w:bidi="ar"/>
        </w:rPr>
        <w:t>用以上两种计算方法取其中的低值进行货物交货计量测定，最终以采购人机械的测定重量为准。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3.2</w:t>
      </w:r>
      <w:r>
        <w:rPr>
          <w:rFonts w:hint="default" w:ascii="仿宋_GB2312" w:hAnsi="仿宋_GB2312" w:eastAsia="仿宋_GB2312" w:cs="仿宋_GB2312"/>
          <w:color w:val="auto"/>
          <w:kern w:val="0"/>
          <w:sz w:val="28"/>
          <w:szCs w:val="28"/>
          <w:lang w:val="en-US" w:eastAsia="zh-CN" w:bidi="ar"/>
        </w:rPr>
        <w:t>交货数量的正负尾差、合理磅差和在途自然增（减）量规定及计算方法：以采购人与供应商双方共同签认数量为准，按实际交付量进行结算。</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（十八）供应商管理及退出机制</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w:t>
      </w:r>
      <w:r>
        <w:rPr>
          <w:rFonts w:hint="default" w:ascii="仿宋_GB2312" w:hAnsi="仿宋_GB2312" w:eastAsia="仿宋_GB2312" w:cs="仿宋_GB2312"/>
          <w:color w:val="auto"/>
          <w:kern w:val="0"/>
          <w:sz w:val="28"/>
          <w:szCs w:val="28"/>
          <w:lang w:val="en-US" w:eastAsia="zh-CN" w:bidi="ar"/>
        </w:rPr>
        <w:t>取消供应商资格的情形</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default" w:ascii="仿宋_GB2312" w:hAnsi="仿宋_GB2312" w:eastAsia="仿宋_GB2312" w:cs="仿宋_GB2312"/>
          <w:color w:val="auto"/>
          <w:kern w:val="0"/>
          <w:sz w:val="28"/>
          <w:szCs w:val="28"/>
          <w:lang w:val="en-US" w:eastAsia="zh-CN" w:bidi="ar"/>
        </w:rPr>
        <w:t>出现以下情形之一的，采购人有权单方面取消其入库供应商资格、终止采购框架协议及具体</w:t>
      </w:r>
      <w:r>
        <w:rPr>
          <w:rFonts w:hint="eastAsia" w:ascii="仿宋_GB2312" w:hAnsi="仿宋_GB2312" w:eastAsia="仿宋_GB2312" w:cs="仿宋_GB2312"/>
          <w:color w:val="auto"/>
          <w:kern w:val="0"/>
          <w:sz w:val="28"/>
          <w:szCs w:val="28"/>
          <w:lang w:val="en-US" w:eastAsia="zh-CN" w:bidi="ar"/>
        </w:rPr>
        <w:t>批次</w:t>
      </w:r>
      <w:r>
        <w:rPr>
          <w:rFonts w:hint="default" w:ascii="仿宋_GB2312" w:hAnsi="仿宋_GB2312" w:eastAsia="仿宋_GB2312" w:cs="仿宋_GB2312"/>
          <w:color w:val="auto"/>
          <w:kern w:val="0"/>
          <w:sz w:val="28"/>
          <w:szCs w:val="28"/>
          <w:lang w:val="en-US" w:eastAsia="zh-CN" w:bidi="ar"/>
        </w:rPr>
        <w:t>采购合同，并视情况扣除部分或全部</w:t>
      </w:r>
      <w:r>
        <w:rPr>
          <w:rFonts w:hint="eastAsia" w:ascii="仿宋_GB2312" w:hAnsi="仿宋_GB2312" w:eastAsia="仿宋_GB2312" w:cs="仿宋_GB2312"/>
          <w:color w:val="auto"/>
          <w:kern w:val="0"/>
          <w:sz w:val="28"/>
          <w:szCs w:val="28"/>
          <w:lang w:val="en-US" w:eastAsia="zh-CN" w:bidi="ar"/>
        </w:rPr>
        <w:t>供应商缴纳的入库</w:t>
      </w:r>
      <w:r>
        <w:rPr>
          <w:rFonts w:hint="default" w:ascii="仿宋_GB2312" w:hAnsi="仿宋_GB2312" w:eastAsia="仿宋_GB2312" w:cs="仿宋_GB2312"/>
          <w:color w:val="auto"/>
          <w:kern w:val="0"/>
          <w:sz w:val="28"/>
          <w:szCs w:val="28"/>
          <w:lang w:val="en-US" w:eastAsia="zh-CN" w:bidi="ar"/>
        </w:rPr>
        <w:t>保证金；造成采购人损失的，供应商应另行赔偿：</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1.1</w:t>
      </w:r>
      <w:r>
        <w:rPr>
          <w:rFonts w:hint="default" w:ascii="仿宋_GB2312" w:hAnsi="仿宋_GB2312" w:eastAsia="仿宋_GB2312" w:cs="仿宋_GB2312"/>
          <w:color w:val="auto"/>
          <w:kern w:val="0"/>
          <w:sz w:val="28"/>
          <w:szCs w:val="28"/>
          <w:lang w:val="en-US" w:eastAsia="zh-CN" w:bidi="ar"/>
        </w:rPr>
        <w:t>供货违约：除采购人书面同意外，</w:t>
      </w:r>
      <w:r>
        <w:rPr>
          <w:rFonts w:hint="eastAsia" w:ascii="仿宋_GB2312" w:hAnsi="仿宋_GB2312" w:eastAsia="仿宋_GB2312" w:cs="仿宋_GB2312"/>
          <w:color w:val="auto"/>
          <w:kern w:val="0"/>
          <w:sz w:val="28"/>
          <w:szCs w:val="28"/>
          <w:lang w:val="en-US" w:eastAsia="zh-CN" w:bidi="ar"/>
        </w:rPr>
        <w:t>因</w:t>
      </w:r>
      <w:r>
        <w:rPr>
          <w:rFonts w:hint="default" w:ascii="仿宋_GB2312" w:hAnsi="仿宋_GB2312" w:eastAsia="仿宋_GB2312" w:cs="仿宋_GB2312"/>
          <w:color w:val="auto"/>
          <w:kern w:val="0"/>
          <w:sz w:val="28"/>
          <w:szCs w:val="28"/>
          <w:lang w:val="en-US" w:eastAsia="zh-CN" w:bidi="ar"/>
        </w:rPr>
        <w:t>供应商未按采购人要求的供货数量、时间节点、</w:t>
      </w:r>
      <w:r>
        <w:rPr>
          <w:rFonts w:hint="eastAsia" w:ascii="仿宋_GB2312" w:hAnsi="仿宋_GB2312" w:eastAsia="仿宋_GB2312" w:cs="仿宋_GB2312"/>
          <w:color w:val="auto"/>
          <w:kern w:val="0"/>
          <w:sz w:val="28"/>
          <w:szCs w:val="28"/>
          <w:lang w:val="en-US" w:eastAsia="zh-CN" w:bidi="ar"/>
        </w:rPr>
        <w:t>标准</w:t>
      </w:r>
      <w:r>
        <w:rPr>
          <w:rFonts w:hint="default" w:ascii="仿宋_GB2312" w:hAnsi="仿宋_GB2312" w:eastAsia="仿宋_GB2312" w:cs="仿宋_GB2312"/>
          <w:color w:val="auto"/>
          <w:kern w:val="0"/>
          <w:sz w:val="28"/>
          <w:szCs w:val="28"/>
          <w:lang w:val="en-US" w:eastAsia="zh-CN" w:bidi="ar"/>
        </w:rPr>
        <w:t>要求完成供货的</w:t>
      </w:r>
      <w:r>
        <w:rPr>
          <w:rFonts w:hint="eastAsia" w:ascii="仿宋_GB2312" w:hAnsi="仿宋_GB2312" w:eastAsia="仿宋_GB2312" w:cs="仿宋_GB2312"/>
          <w:color w:val="auto"/>
          <w:kern w:val="0"/>
          <w:sz w:val="28"/>
          <w:szCs w:val="28"/>
          <w:lang w:val="en-US" w:eastAsia="zh-CN" w:bidi="ar"/>
        </w:rPr>
        <w:t>而造成采购人损失的</w:t>
      </w:r>
      <w:r>
        <w:rPr>
          <w:rFonts w:hint="default" w:ascii="仿宋_GB2312" w:hAnsi="仿宋_GB2312" w:eastAsia="仿宋_GB2312" w:cs="仿宋_GB2312"/>
          <w:color w:val="auto"/>
          <w:kern w:val="0"/>
          <w:sz w:val="28"/>
          <w:szCs w:val="28"/>
          <w:lang w:val="en-US" w:eastAsia="zh-CN" w:bidi="ar"/>
        </w:rPr>
        <w:t>，视为供货违约。</w:t>
      </w:r>
      <w:r>
        <w:rPr>
          <w:rFonts w:hint="eastAsia" w:ascii="仿宋_GB2312" w:hAnsi="仿宋_GB2312" w:eastAsia="仿宋_GB2312" w:cs="仿宋_GB2312"/>
          <w:color w:val="auto"/>
          <w:kern w:val="0"/>
          <w:sz w:val="28"/>
          <w:szCs w:val="28"/>
          <w:lang w:val="en-US" w:eastAsia="zh-CN" w:bidi="ar"/>
        </w:rPr>
        <w:t>在合作期内</w:t>
      </w:r>
      <w:r>
        <w:rPr>
          <w:rFonts w:hint="default" w:ascii="仿宋_GB2312" w:hAnsi="仿宋_GB2312" w:eastAsia="仿宋_GB2312" w:cs="仿宋_GB2312"/>
          <w:color w:val="auto"/>
          <w:kern w:val="0"/>
          <w:sz w:val="28"/>
          <w:szCs w:val="28"/>
          <w:lang w:val="en-US" w:eastAsia="zh-CN" w:bidi="ar"/>
        </w:rPr>
        <w:t>首次违约的，采购人向相应供应商发出一次履约负面评价警告，拒收货物，并由供应商承担相应的法律责任和经济损失；在同一在合作期内出现2次（含）以上供货违约的，采购人有权单方面取消其入库供应商资格和当前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1.2</w:t>
      </w:r>
      <w:r>
        <w:rPr>
          <w:rFonts w:hint="default" w:ascii="仿宋_GB2312" w:hAnsi="仿宋_GB2312" w:eastAsia="仿宋_GB2312" w:cs="仿宋_GB2312"/>
          <w:color w:val="auto"/>
          <w:kern w:val="0"/>
          <w:sz w:val="28"/>
          <w:szCs w:val="28"/>
          <w:lang w:val="en-US" w:eastAsia="zh-CN" w:bidi="ar"/>
        </w:rPr>
        <w:t>擅自变更矿区/标段</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1.2.1</w:t>
      </w:r>
      <w:r>
        <w:rPr>
          <w:rFonts w:hint="default" w:ascii="仿宋_GB2312" w:hAnsi="仿宋_GB2312" w:eastAsia="仿宋_GB2312" w:cs="仿宋_GB2312"/>
          <w:color w:val="auto"/>
          <w:kern w:val="0"/>
          <w:sz w:val="28"/>
          <w:szCs w:val="28"/>
          <w:lang w:val="en-US" w:eastAsia="zh-CN" w:bidi="ar"/>
        </w:rPr>
        <w:t>供应商严禁未经采购人书面同意擅自变更供应矿区/标段。如确因原矿区/标段无法满足供货需求且没有备案后备矿区/标段而需变更的，供应商须提前提出书面申请，说明原因，并提交与矿区/标段的合法权属证明、质量检测报告，经采购人书面同意及审核通过后方可变更。</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1.2.2</w:t>
      </w:r>
      <w:r>
        <w:rPr>
          <w:rFonts w:hint="default" w:ascii="仿宋_GB2312" w:hAnsi="仿宋_GB2312" w:eastAsia="仿宋_GB2312" w:cs="仿宋_GB2312"/>
          <w:color w:val="auto"/>
          <w:kern w:val="0"/>
          <w:sz w:val="28"/>
          <w:szCs w:val="28"/>
          <w:lang w:val="en-US" w:eastAsia="zh-CN" w:bidi="ar"/>
        </w:rPr>
        <w:t>未经采购人书面同意擅自变更的，每次采购人有权从</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保证金中或货款中扣除1万元作为违约金，且供应商需于5个工作日内补足保证金</w:t>
      </w:r>
      <w:r>
        <w:rPr>
          <w:rFonts w:hint="eastAsia" w:ascii="仿宋_GB2312" w:hAnsi="仿宋_GB2312" w:eastAsia="仿宋_GB2312" w:cs="仿宋_GB2312"/>
          <w:color w:val="auto"/>
          <w:kern w:val="0"/>
          <w:sz w:val="28"/>
          <w:szCs w:val="28"/>
          <w:lang w:val="en-US" w:eastAsia="zh-CN" w:bidi="ar"/>
        </w:rPr>
        <w:t>并</w:t>
      </w:r>
      <w:r>
        <w:rPr>
          <w:rFonts w:hint="default" w:ascii="仿宋_GB2312" w:hAnsi="仿宋_GB2312" w:eastAsia="仿宋_GB2312" w:cs="仿宋_GB2312"/>
          <w:color w:val="auto"/>
          <w:kern w:val="0"/>
          <w:sz w:val="28"/>
          <w:szCs w:val="28"/>
          <w:lang w:val="en-US" w:eastAsia="zh-CN" w:bidi="ar"/>
        </w:rPr>
        <w:t>赔偿因此给采购人造成的所有直接及间接损失。</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1.2.3</w:t>
      </w:r>
      <w:r>
        <w:rPr>
          <w:rFonts w:hint="default" w:ascii="仿宋_GB2312" w:hAnsi="仿宋_GB2312" w:eastAsia="仿宋_GB2312" w:cs="仿宋_GB2312"/>
          <w:color w:val="auto"/>
          <w:kern w:val="0"/>
          <w:sz w:val="28"/>
          <w:szCs w:val="28"/>
          <w:lang w:val="en-US" w:eastAsia="zh-CN" w:bidi="ar"/>
        </w:rPr>
        <w:t>超过2次（含）擅自变更的，采购人有权单方面取消其入库供应商资格和当前项目供应商资格并扣除全部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w:t>
      </w:r>
      <w:r>
        <w:rPr>
          <w:rFonts w:hint="default" w:ascii="仿宋_GB2312" w:hAnsi="仿宋_GB2312" w:eastAsia="仿宋_GB2312" w:cs="仿宋_GB2312"/>
          <w:color w:val="auto"/>
          <w:kern w:val="0"/>
          <w:sz w:val="28"/>
          <w:szCs w:val="28"/>
          <w:lang w:val="en-US" w:eastAsia="zh-CN" w:bidi="ar"/>
        </w:rPr>
        <w:t>质量不合格</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1.3.1</w:t>
      </w:r>
      <w:r>
        <w:rPr>
          <w:rFonts w:hint="default" w:ascii="仿宋_GB2312" w:hAnsi="仿宋_GB2312" w:eastAsia="仿宋_GB2312" w:cs="仿宋_GB2312"/>
          <w:color w:val="auto"/>
          <w:kern w:val="0"/>
          <w:sz w:val="28"/>
          <w:szCs w:val="28"/>
          <w:lang w:val="en-US" w:eastAsia="zh-CN" w:bidi="ar"/>
        </w:rPr>
        <w:t>采购人有权在原材料到场前或到场后按批次进行质量抽检，亦有权委托第三方检测机构进行不定期的飞行抽检。</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1.3.2</w:t>
      </w:r>
      <w:r>
        <w:rPr>
          <w:rFonts w:hint="default" w:ascii="仿宋_GB2312" w:hAnsi="仿宋_GB2312" w:eastAsia="仿宋_GB2312" w:cs="仿宋_GB2312"/>
          <w:color w:val="auto"/>
          <w:kern w:val="0"/>
          <w:sz w:val="28"/>
          <w:szCs w:val="28"/>
          <w:lang w:val="en-US" w:eastAsia="zh-CN" w:bidi="ar"/>
        </w:rPr>
        <w:t>如材料出现质量问题（包括但不限于海砂氯离子含量超标、含泥量超标等），给采购人造成的一切损失由供应商负责。</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1.3.3</w:t>
      </w:r>
      <w:r>
        <w:rPr>
          <w:rFonts w:hint="default" w:ascii="仿宋_GB2312" w:hAnsi="仿宋_GB2312" w:eastAsia="仿宋_GB2312" w:cs="仿宋_GB2312"/>
          <w:color w:val="auto"/>
          <w:kern w:val="0"/>
          <w:sz w:val="28"/>
          <w:szCs w:val="28"/>
          <w:lang w:val="en-US" w:eastAsia="zh-CN" w:bidi="ar"/>
        </w:rPr>
        <w:t>因货物质量问题发生争议时，由佛山市建筑工程质量检测站按国家规定检验标准和方法，对产品进行检验。货物符合质量标准的，鉴定费由采购人承担；不符合的，鉴定费由供应商承担。</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1.3.4</w:t>
      </w:r>
      <w:r>
        <w:rPr>
          <w:rFonts w:hint="default" w:ascii="仿宋_GB2312" w:hAnsi="仿宋_GB2312" w:eastAsia="仿宋_GB2312" w:cs="仿宋_GB2312"/>
          <w:color w:val="auto"/>
          <w:kern w:val="0"/>
          <w:sz w:val="28"/>
          <w:szCs w:val="28"/>
          <w:lang w:val="en-US" w:eastAsia="zh-CN" w:bidi="ar"/>
        </w:rPr>
        <w:t>出现质量问题的，供应商须在不影响采购人生产使用的前提下，在规定的时间内补充符合要求的等量材料至采购人指定地址；采购人按合同约定对不合格批次货物进行退货，由供应商负责清运，并负责所有清运费用。</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1.3.5</w:t>
      </w:r>
      <w:r>
        <w:rPr>
          <w:rFonts w:hint="default" w:ascii="仿宋_GB2312" w:hAnsi="仿宋_GB2312" w:eastAsia="仿宋_GB2312" w:cs="仿宋_GB2312"/>
          <w:color w:val="auto"/>
          <w:kern w:val="0"/>
          <w:sz w:val="28"/>
          <w:szCs w:val="28"/>
          <w:lang w:val="en-US" w:eastAsia="zh-CN" w:bidi="ar"/>
        </w:rPr>
        <w:t>同一供应商出现因货物质量问题而导致采购人产生损失的，且不对货物进行更换处理的（采购人另外有要求的除外），采购人有权单方面取消其入库供应商资格和当前</w:t>
      </w:r>
      <w:r>
        <w:rPr>
          <w:rFonts w:hint="eastAsia" w:ascii="仿宋_GB2312" w:hAnsi="仿宋_GB2312" w:eastAsia="仿宋_GB2312" w:cs="仿宋_GB2312"/>
          <w:color w:val="auto"/>
          <w:kern w:val="0"/>
          <w:sz w:val="28"/>
          <w:szCs w:val="28"/>
          <w:lang w:val="en-US" w:eastAsia="zh-CN" w:bidi="ar"/>
        </w:rPr>
        <w:t>批次采购</w:t>
      </w:r>
      <w:r>
        <w:rPr>
          <w:rFonts w:hint="default" w:ascii="仿宋_GB2312" w:hAnsi="仿宋_GB2312" w:eastAsia="仿宋_GB2312" w:cs="仿宋_GB2312"/>
          <w:color w:val="auto"/>
          <w:kern w:val="0"/>
          <w:sz w:val="28"/>
          <w:szCs w:val="28"/>
          <w:lang w:val="en-US" w:eastAsia="zh-CN" w:bidi="ar"/>
        </w:rPr>
        <w:t>项目供应商资格并扣除全部保证金。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1.4</w:t>
      </w:r>
      <w:r>
        <w:rPr>
          <w:rFonts w:hint="default" w:ascii="仿宋_GB2312" w:hAnsi="仿宋_GB2312" w:eastAsia="仿宋_GB2312" w:cs="仿宋_GB2312"/>
          <w:color w:val="auto"/>
          <w:kern w:val="0"/>
          <w:sz w:val="28"/>
          <w:szCs w:val="28"/>
          <w:lang w:val="en-US" w:eastAsia="zh-CN" w:bidi="ar"/>
        </w:rPr>
        <w:t>验收不合格或配送不及时，经采购人确认的：供应商所提供的货物，验收不合格或未按时送达累计满3次（含）的，采购人有权单方面取消其入库供应商资格和当前</w:t>
      </w:r>
      <w:r>
        <w:rPr>
          <w:rFonts w:hint="eastAsia" w:ascii="仿宋_GB2312" w:hAnsi="仿宋_GB2312" w:eastAsia="仿宋_GB2312" w:cs="仿宋_GB2312"/>
          <w:color w:val="auto"/>
          <w:kern w:val="0"/>
          <w:sz w:val="28"/>
          <w:szCs w:val="28"/>
          <w:lang w:val="en-US" w:eastAsia="zh-CN" w:bidi="ar"/>
        </w:rPr>
        <w:t>批次采购</w:t>
      </w:r>
      <w:r>
        <w:rPr>
          <w:rFonts w:hint="default" w:ascii="仿宋_GB2312" w:hAnsi="仿宋_GB2312" w:eastAsia="仿宋_GB2312" w:cs="仿宋_GB2312"/>
          <w:color w:val="auto"/>
          <w:kern w:val="0"/>
          <w:sz w:val="28"/>
          <w:szCs w:val="28"/>
          <w:lang w:val="en-US" w:eastAsia="zh-CN" w:bidi="ar"/>
        </w:rPr>
        <w:t>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1.5</w:t>
      </w:r>
      <w:r>
        <w:rPr>
          <w:rFonts w:hint="default" w:ascii="仿宋_GB2312" w:hAnsi="仿宋_GB2312" w:eastAsia="仿宋_GB2312" w:cs="仿宋_GB2312"/>
          <w:color w:val="auto"/>
          <w:kern w:val="0"/>
          <w:sz w:val="28"/>
          <w:szCs w:val="28"/>
          <w:lang w:val="en-US" w:eastAsia="zh-CN" w:bidi="ar"/>
        </w:rPr>
        <w:t>样板不符：供应商首次供货前，须提供一套样品（须标明砂源地信息）给采购人封样留存，经采购人书面认可后方可按此样板供货。如实际供货与样板质量明显不符，采购人有权拒收当批货物；累计3次（含）样板与实际供货不符的，经采购人确认的，采购人有权单方面取消其入库供应商资格和当前批次采购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1.6</w:t>
      </w:r>
      <w:r>
        <w:rPr>
          <w:rFonts w:hint="default" w:ascii="仿宋_GB2312" w:hAnsi="仿宋_GB2312" w:eastAsia="仿宋_GB2312" w:cs="仿宋_GB2312"/>
          <w:color w:val="auto"/>
          <w:kern w:val="0"/>
          <w:sz w:val="28"/>
          <w:szCs w:val="28"/>
          <w:lang w:val="en-US" w:eastAsia="zh-CN" w:bidi="ar"/>
        </w:rPr>
        <w:t>信用及合规黑名单：供应商在合同期间被列入“信用中国”失信名单，或存在提供虚假材料、伪造溯源信息等弄虚作假行为的，采购人有权单方面取消其入库供应商资格和当前批次采购项目供应商资格并扣除全部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保证金，情节严重的将依法追究法律责任。</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1.7</w:t>
      </w:r>
      <w:r>
        <w:rPr>
          <w:rFonts w:hint="default" w:ascii="仿宋_GB2312" w:hAnsi="仿宋_GB2312" w:eastAsia="仿宋_GB2312" w:cs="仿宋_GB2312"/>
          <w:color w:val="auto"/>
          <w:kern w:val="0"/>
          <w:sz w:val="28"/>
          <w:szCs w:val="28"/>
          <w:lang w:val="en-US" w:eastAsia="zh-CN" w:bidi="ar"/>
        </w:rPr>
        <w:t>供应商未在采购人要求的期限内（原则上不超过7个工作日）签订具体采购合同的，采购人有权单方面取消其入库供应商资格和当前批次采购项目供应商资格并扣除全部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保证金。因</w:t>
      </w:r>
      <w:r>
        <w:rPr>
          <w:rFonts w:hint="eastAsia" w:ascii="仿宋_GB2312" w:hAnsi="仿宋_GB2312" w:eastAsia="仿宋_GB2312" w:cs="仿宋_GB2312"/>
          <w:color w:val="auto"/>
          <w:kern w:val="0"/>
          <w:sz w:val="28"/>
          <w:szCs w:val="28"/>
          <w:lang w:val="en-US" w:eastAsia="zh-CN" w:bidi="ar"/>
        </w:rPr>
        <w:t>采购人</w:t>
      </w:r>
      <w:r>
        <w:rPr>
          <w:rFonts w:hint="default" w:ascii="仿宋_GB2312" w:hAnsi="仿宋_GB2312" w:eastAsia="仿宋_GB2312" w:cs="仿宋_GB2312"/>
          <w:color w:val="auto"/>
          <w:kern w:val="0"/>
          <w:sz w:val="28"/>
          <w:szCs w:val="28"/>
          <w:lang w:val="en-US" w:eastAsia="zh-CN" w:bidi="ar"/>
        </w:rPr>
        <w:t>原因的情形除外。</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1.8</w:t>
      </w:r>
      <w:r>
        <w:rPr>
          <w:rFonts w:hint="default" w:ascii="仿宋_GB2312" w:hAnsi="仿宋_GB2312" w:eastAsia="仿宋_GB2312" w:cs="仿宋_GB2312"/>
          <w:color w:val="auto"/>
          <w:kern w:val="0"/>
          <w:sz w:val="28"/>
          <w:szCs w:val="28"/>
          <w:lang w:val="en-US" w:eastAsia="zh-CN" w:bidi="ar"/>
        </w:rPr>
        <w:t>供应商无正当理由拒绝采购人或其委托的审计、监察机构对货源、生产现场、溯源档案等进行监督检查的。采购人有权单方面取消其入库供应商资格和当前批次采购项目供应商资格并扣除全部</w:t>
      </w:r>
      <w:r>
        <w:rPr>
          <w:rFonts w:hint="eastAsia" w:ascii="仿宋_GB2312" w:hAnsi="仿宋_GB2312" w:eastAsia="仿宋_GB2312" w:cs="仿宋_GB2312"/>
          <w:color w:val="auto"/>
          <w:kern w:val="0"/>
          <w:sz w:val="28"/>
          <w:szCs w:val="28"/>
          <w:lang w:val="en-US" w:eastAsia="zh-CN" w:bidi="ar"/>
        </w:rPr>
        <w:t>入库</w:t>
      </w:r>
      <w:r>
        <w:rPr>
          <w:rFonts w:hint="default" w:ascii="仿宋_GB2312" w:hAnsi="仿宋_GB2312" w:eastAsia="仿宋_GB2312" w:cs="仿宋_GB2312"/>
          <w:color w:val="auto"/>
          <w:kern w:val="0"/>
          <w:sz w:val="28"/>
          <w:szCs w:val="28"/>
          <w:lang w:val="en-US" w:eastAsia="zh-CN" w:bidi="ar"/>
        </w:rPr>
        <w:t>保证金</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1.9</w:t>
      </w:r>
      <w:r>
        <w:rPr>
          <w:rFonts w:hint="default" w:ascii="仿宋_GB2312" w:hAnsi="仿宋_GB2312" w:eastAsia="仿宋_GB2312" w:cs="仿宋_GB2312"/>
          <w:color w:val="auto"/>
          <w:kern w:val="0"/>
          <w:sz w:val="28"/>
          <w:szCs w:val="28"/>
          <w:lang w:val="en-US" w:eastAsia="zh-CN" w:bidi="ar"/>
        </w:rPr>
        <w:t>供应商发生其他严重违反框架协议或具体采购合同约定，或有其他损害采购人利益行为的，采购人有权视情节轻重予以警告、暂停报价资格或取消供应商资格。</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采购人的权利保留</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2.1</w:t>
      </w:r>
      <w:r>
        <w:rPr>
          <w:rFonts w:hint="default" w:ascii="仿宋_GB2312" w:hAnsi="仿宋_GB2312" w:eastAsia="仿宋_GB2312" w:cs="仿宋_GB2312"/>
          <w:color w:val="auto"/>
          <w:kern w:val="0"/>
          <w:sz w:val="28"/>
          <w:szCs w:val="28"/>
          <w:lang w:val="en-US" w:eastAsia="zh-CN" w:bidi="ar"/>
        </w:rPr>
        <w:t>采购人不承诺任何具体采购量，所有采购量以实际需求为准。</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2.2</w:t>
      </w:r>
      <w:r>
        <w:rPr>
          <w:rFonts w:hint="default" w:ascii="仿宋_GB2312" w:hAnsi="仿宋_GB2312" w:eastAsia="仿宋_GB2312" w:cs="仿宋_GB2312"/>
          <w:color w:val="auto"/>
          <w:kern w:val="0"/>
          <w:sz w:val="28"/>
          <w:szCs w:val="28"/>
          <w:lang w:val="en-US" w:eastAsia="zh-CN" w:bidi="ar"/>
        </w:rPr>
        <w:t>采购人有权根据业务发展战略调整、市场变化或政策变化，在提前</w:t>
      </w:r>
      <w:r>
        <w:rPr>
          <w:rFonts w:hint="eastAsia" w:ascii="仿宋_GB2312" w:hAnsi="仿宋_GB2312" w:eastAsia="仿宋_GB2312" w:cs="仿宋_GB2312"/>
          <w:color w:val="auto"/>
          <w:kern w:val="0"/>
          <w:sz w:val="28"/>
          <w:szCs w:val="28"/>
          <w:lang w:val="en-US" w:eastAsia="zh-CN" w:bidi="ar"/>
        </w:rPr>
        <w:t>2</w:t>
      </w:r>
      <w:r>
        <w:rPr>
          <w:rFonts w:hint="default" w:ascii="仿宋_GB2312" w:hAnsi="仿宋_GB2312" w:eastAsia="仿宋_GB2312" w:cs="仿宋_GB2312"/>
          <w:color w:val="auto"/>
          <w:kern w:val="0"/>
          <w:sz w:val="28"/>
          <w:szCs w:val="28"/>
          <w:lang w:val="en-US" w:eastAsia="zh-CN" w:bidi="ar"/>
        </w:rPr>
        <w:t>0日书面通知供应商后终止本资格库，供应商需无条件接受，已发生的采购按合同约定继续履行。</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2.3</w:t>
      </w:r>
      <w:r>
        <w:rPr>
          <w:rFonts w:hint="default" w:ascii="仿宋_GB2312" w:hAnsi="仿宋_GB2312" w:eastAsia="仿宋_GB2312" w:cs="仿宋_GB2312"/>
          <w:color w:val="auto"/>
          <w:kern w:val="0"/>
          <w:sz w:val="28"/>
          <w:szCs w:val="28"/>
          <w:lang w:val="en-US" w:eastAsia="zh-CN" w:bidi="ar"/>
        </w:rPr>
        <w:t>供应商被取消资格后三年内不得参与采购人同类型产品的入库资格申请。</w:t>
      </w:r>
    </w:p>
    <w:p>
      <w:pPr>
        <w:ind w:firstLine="560" w:firstLineChars="200"/>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2.4</w:t>
      </w:r>
      <w:r>
        <w:rPr>
          <w:rFonts w:hint="default" w:ascii="仿宋_GB2312" w:hAnsi="仿宋_GB2312" w:eastAsia="仿宋_GB2312" w:cs="仿宋_GB2312"/>
          <w:color w:val="auto"/>
          <w:kern w:val="0"/>
          <w:sz w:val="28"/>
          <w:szCs w:val="28"/>
          <w:lang w:val="en-US" w:eastAsia="zh-CN" w:bidi="ar"/>
        </w:rPr>
        <w:t>采购人保留对供应商在合作期间形成的溯源档案、质量记录、履约评价等信息进行留存的权利，供应商入库即视为同意采购人将相关履约信息用于后续采购评估及供应商管理。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jc w:val="left"/>
        <w:textAlignment w:val="auto"/>
        <w:rPr>
          <w:rFonts w:hint="default" w:ascii="楷体_GB2312" w:hAnsi="楷体_GB2312" w:eastAsia="楷体_GB2312" w:cs="楷体_GB2312"/>
          <w:b w:val="0"/>
          <w:bCs w:val="0"/>
          <w:color w:val="auto"/>
          <w:kern w:val="0"/>
          <w:sz w:val="28"/>
          <w:szCs w:val="28"/>
          <w:highlight w:val="none"/>
          <w:u w:val="none"/>
          <w:lang w:val="en-US" w:eastAsia="zh-CN" w:bidi="ar"/>
        </w:rPr>
      </w:pPr>
      <w:r>
        <w:rPr>
          <w:rFonts w:hint="eastAsia" w:ascii="楷体_GB2312" w:hAnsi="楷体_GB2312" w:eastAsia="楷体_GB2312" w:cs="楷体_GB2312"/>
          <w:b w:val="0"/>
          <w:bCs w:val="0"/>
          <w:color w:val="auto"/>
          <w:kern w:val="0"/>
          <w:sz w:val="28"/>
          <w:szCs w:val="28"/>
          <w:highlight w:val="none"/>
          <w:u w:val="none"/>
          <w:lang w:val="en-US" w:eastAsia="zh-CN" w:bidi="ar"/>
        </w:rPr>
        <w:t>（十九）原材料要求</w:t>
      </w:r>
      <w:r>
        <w:rPr>
          <w:rFonts w:hint="default" w:ascii="楷体_GB2312" w:hAnsi="楷体_GB2312" w:eastAsia="楷体_GB2312" w:cs="楷体_GB2312"/>
          <w:b w:val="0"/>
          <w:bCs w:val="0"/>
          <w:color w:val="auto"/>
          <w:kern w:val="0"/>
          <w:sz w:val="28"/>
          <w:szCs w:val="28"/>
          <w:highlight w:val="none"/>
          <w:u w:val="none"/>
          <w:lang w:val="en-US" w:eastAsia="zh-CN" w:bidi="ar"/>
        </w:rPr>
        <w:t xml:space="preserve"> </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1.每一批次的海砂原材料来源均合法合规，供应商提供完整的溯源链证明文件（包括采矿许可、不动产登记证明、来源证明、水路运输单、相关发票等）。供应商须采用采购人认可的信息化手段（如电子运单、GPS轨迹记录、区块链存证等）实现物流运输全程可追溯。</w:t>
      </w:r>
    </w:p>
    <w:p>
      <w:pPr>
        <w:pStyle w:val="2"/>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eastAsia" w:ascii="仿宋_GB2312" w:hAnsi="仿宋_GB2312" w:eastAsia="仿宋_GB2312" w:cs="仿宋_GB2312"/>
          <w:color w:val="auto"/>
          <w:kern w:val="0"/>
          <w:sz w:val="28"/>
          <w:szCs w:val="28"/>
          <w:lang w:val="en-US" w:eastAsia="zh-CN" w:bidi="ar"/>
        </w:rPr>
        <w:t>2.海砂（未淡化）原材料须符合国家及行业相关质量标准，供应商在第一次供货时须提供近一年内由具备CMA/CNAS资质的第三方检测机构出具的产品质量检测报告（检测项目须覆盖颗粒级配、含泥量、贝壳含量、氯离子含量等关键指标）须符合国家建筑用砂标准（GB/T14684-2022、JGJ52-2006）及后续采购人对海砂（未淡化）的相关要求和规定。</w:t>
      </w:r>
    </w:p>
    <w:p>
      <w:pPr>
        <w:pStyle w:val="14"/>
        <w:numPr>
          <w:ilvl w:val="0"/>
          <w:numId w:val="0"/>
        </w:numPr>
        <w:spacing w:line="240" w:lineRule="auto"/>
        <w:ind w:left="0" w:leftChars="0" w:firstLine="0" w:firstLineChars="0"/>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三、响应文件要求</w:t>
      </w:r>
    </w:p>
    <w:p>
      <w:pPr>
        <w:ind w:firstLine="560" w:firstLineChars="200"/>
        <w:rPr>
          <w:rFonts w:hint="eastAsia" w:ascii="仿宋_GB2312" w:hAnsi="仿宋_GB2312" w:eastAsia="仿宋_GB2312" w:cs="仿宋_GB2312"/>
          <w:color w:val="auto"/>
          <w:kern w:val="0"/>
          <w:sz w:val="28"/>
          <w:szCs w:val="28"/>
          <w:lang w:val="en-US" w:eastAsia="zh-CN" w:bidi="ar"/>
        </w:rPr>
      </w:pPr>
      <w:bookmarkStart w:id="9" w:name="OLE_LINK2"/>
      <w:r>
        <w:rPr>
          <w:rFonts w:hint="eastAsia" w:ascii="仿宋_GB2312" w:hAnsi="仿宋_GB2312" w:eastAsia="仿宋_GB2312" w:cs="仿宋_GB2312"/>
          <w:color w:val="auto"/>
          <w:kern w:val="0"/>
          <w:sz w:val="28"/>
          <w:szCs w:val="28"/>
          <w:lang w:val="en-US" w:eastAsia="zh-CN" w:bidi="ar"/>
        </w:rPr>
        <w:t>1.响应函。</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2.法定代表人证明或授权委托书。</w:t>
      </w:r>
    </w:p>
    <w:p>
      <w:pPr>
        <w:ind w:firstLine="560" w:firstLineChars="200"/>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3.资格审查资料。</w:t>
      </w:r>
    </w:p>
    <w:bookmarkEnd w:id="9"/>
    <w:p>
      <w:pPr>
        <w:pStyle w:val="14"/>
        <w:numPr>
          <w:ilvl w:val="0"/>
          <w:numId w:val="0"/>
        </w:numPr>
        <w:spacing w:line="240" w:lineRule="auto"/>
        <w:ind w:leftChars="-200"/>
        <w:jc w:val="center"/>
        <w:outlineLvl w:val="0"/>
        <w:rPr>
          <w:rFonts w:hint="eastAsia" w:ascii="黑体" w:hAnsi="黑体" w:eastAsia="黑体" w:cs="黑体"/>
          <w:color w:val="auto"/>
          <w:kern w:val="0"/>
          <w:sz w:val="32"/>
          <w:szCs w:val="32"/>
          <w:lang w:val="en-US" w:eastAsia="zh-CN" w:bidi="ar"/>
        </w:rPr>
      </w:pPr>
      <w:bookmarkStart w:id="10" w:name="_Toc27738"/>
      <w:r>
        <w:rPr>
          <w:rFonts w:hint="eastAsia" w:ascii="黑体" w:hAnsi="黑体" w:eastAsia="黑体" w:cs="黑体"/>
          <w:color w:val="auto"/>
          <w:kern w:val="0"/>
          <w:sz w:val="32"/>
          <w:szCs w:val="32"/>
          <w:lang w:val="en-US" w:eastAsia="zh-CN" w:bidi="ar"/>
        </w:rPr>
        <w:t xml:space="preserve">第三章 </w:t>
      </w:r>
      <w:bookmarkEnd w:id="6"/>
      <w:r>
        <w:rPr>
          <w:rFonts w:hint="eastAsia" w:ascii="黑体" w:hAnsi="黑体" w:eastAsia="黑体" w:cs="黑体"/>
          <w:color w:val="auto"/>
          <w:kern w:val="0"/>
          <w:sz w:val="32"/>
          <w:szCs w:val="32"/>
          <w:lang w:val="en-US" w:eastAsia="zh-CN" w:bidi="ar"/>
        </w:rPr>
        <w:t>招募方式</w:t>
      </w:r>
      <w:bookmarkEnd w:id="10"/>
    </w:p>
    <w:p>
      <w:pPr>
        <w:pStyle w:val="14"/>
        <w:numPr>
          <w:ilvl w:val="0"/>
          <w:numId w:val="0"/>
        </w:numPr>
        <w:spacing w:line="240" w:lineRule="auto"/>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spacing w:line="240" w:lineRule="auto"/>
        <w:ind w:left="0" w:leftChars="0" w:firstLine="0" w:firstLineChars="0"/>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一、采购方联系方式：</w:t>
      </w:r>
      <w:r>
        <w:rPr>
          <w:rFonts w:hint="eastAsia" w:ascii="仿宋_GB2312" w:hAnsi="仿宋_GB2312" w:eastAsia="仿宋_GB2312" w:cs="仿宋_GB2312"/>
          <w:color w:val="auto"/>
          <w:kern w:val="0"/>
          <w:sz w:val="28"/>
          <w:szCs w:val="28"/>
          <w:lang w:val="en-US" w:eastAsia="zh-CN" w:bidi="ar"/>
        </w:rPr>
        <w:t>公开招募方式</w:t>
      </w:r>
    </w:p>
    <w:p>
      <w:pPr>
        <w:pStyle w:val="14"/>
        <w:numPr>
          <w:ilvl w:val="0"/>
          <w:numId w:val="0"/>
        </w:numPr>
        <w:spacing w:line="240" w:lineRule="auto"/>
        <w:ind w:left="0" w:leftChars="0" w:firstLine="0" w:firstLineChars="0"/>
        <w:outlineLvl w:val="9"/>
        <w:rPr>
          <w:rFonts w:hint="default"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二、招募流程</w:t>
      </w:r>
    </w:p>
    <w:tbl>
      <w:tblPr>
        <w:tblStyle w:val="19"/>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265"/>
        <w:gridCol w:w="7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发布招募文件</w:t>
            </w:r>
          </w:p>
        </w:tc>
        <w:tc>
          <w:tcPr>
            <w:tcW w:w="7323" w:type="dxa"/>
            <w:vAlign w:val="center"/>
          </w:tcPr>
          <w:p>
            <w:pPr>
              <w:shd w:val="clear"/>
              <w:ind w:firstLine="0" w:firstLineChars="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1.1发布媒体：见招募公告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供应商响应</w:t>
            </w:r>
          </w:p>
        </w:tc>
        <w:tc>
          <w:tcPr>
            <w:tcW w:w="7323"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.1供应商提交响应文件截止时间详见</w:t>
            </w:r>
            <w:r>
              <w:rPr>
                <w:rFonts w:hint="eastAsia" w:ascii="仿宋" w:hAnsi="仿宋" w:eastAsia="仿宋" w:cs="仿宋"/>
                <w:color w:val="000000" w:themeColor="text1"/>
                <w:sz w:val="24"/>
                <w:szCs w:val="24"/>
                <w:highlight w:val="none"/>
                <w:lang w:eastAsia="zh-CN"/>
                <w14:textFill>
                  <w14:solidFill>
                    <w14:schemeClr w14:val="tx1"/>
                  </w14:solidFill>
                </w14:textFill>
              </w:rPr>
              <w:t>招募</w:t>
            </w:r>
            <w:r>
              <w:rPr>
                <w:rFonts w:hint="eastAsia" w:ascii="仿宋" w:hAnsi="仿宋" w:eastAsia="仿宋" w:cs="仿宋"/>
                <w:color w:val="000000" w:themeColor="text1"/>
                <w:sz w:val="24"/>
                <w:szCs w:val="24"/>
                <w:highlight w:val="none"/>
                <w14:textFill>
                  <w14:solidFill>
                    <w14:schemeClr w14:val="tx1"/>
                  </w14:solidFill>
                </w14:textFill>
              </w:rPr>
              <w:t>公告。</w:t>
            </w:r>
          </w:p>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.2在</w:t>
            </w:r>
            <w:r>
              <w:rPr>
                <w:rFonts w:hint="eastAsia" w:ascii="仿宋" w:hAnsi="仿宋" w:eastAsia="仿宋" w:cs="仿宋"/>
                <w:color w:val="000000" w:themeColor="text1"/>
                <w:sz w:val="24"/>
                <w:szCs w:val="24"/>
                <w:highlight w:val="none"/>
                <w:lang w:eastAsia="zh-CN"/>
                <w14:textFill>
                  <w14:solidFill>
                    <w14:schemeClr w14:val="tx1"/>
                  </w14:solidFill>
                </w14:textFill>
              </w:rPr>
              <w:t>招募</w:t>
            </w:r>
            <w:r>
              <w:rPr>
                <w:rFonts w:hint="eastAsia" w:ascii="仿宋" w:hAnsi="仿宋" w:eastAsia="仿宋" w:cs="仿宋"/>
                <w:color w:val="000000" w:themeColor="text1"/>
                <w:sz w:val="24"/>
                <w:szCs w:val="24"/>
                <w:highlight w:val="none"/>
                <w14:textFill>
                  <w14:solidFill>
                    <w14:schemeClr w14:val="tx1"/>
                  </w14:solidFill>
                </w14:textFill>
              </w:rPr>
              <w:t>文件约定的时间、地点，供应商应向采购人递交响应文件。响应文件按照</w:t>
            </w:r>
            <w:r>
              <w:rPr>
                <w:rFonts w:hint="eastAsia" w:ascii="仿宋" w:hAnsi="仿宋" w:eastAsia="仿宋" w:cs="仿宋"/>
                <w:color w:val="000000" w:themeColor="text1"/>
                <w:sz w:val="24"/>
                <w:szCs w:val="24"/>
                <w:highlight w:val="none"/>
                <w:lang w:eastAsia="zh-CN"/>
                <w14:textFill>
                  <w14:solidFill>
                    <w14:schemeClr w14:val="tx1"/>
                  </w14:solidFill>
                </w14:textFill>
              </w:rPr>
              <w:t>第二章第二款的</w:t>
            </w:r>
            <w:r>
              <w:rPr>
                <w:rFonts w:hint="eastAsia" w:ascii="仿宋" w:hAnsi="仿宋" w:eastAsia="仿宋" w:cs="仿宋"/>
                <w:color w:val="000000" w:themeColor="text1"/>
                <w:sz w:val="24"/>
                <w:szCs w:val="24"/>
                <w:highlight w:val="none"/>
                <w14:textFill>
                  <w14:solidFill>
                    <w14:schemeClr w14:val="tx1"/>
                  </w14:solidFill>
                </w14:textFill>
              </w:rPr>
              <w:t>要求密封，按照规定提交。</w:t>
            </w:r>
          </w:p>
          <w:p>
            <w:pPr>
              <w:pStyle w:val="5"/>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.3资格审查执行第</w:t>
            </w:r>
            <w:r>
              <w:rPr>
                <w:rFonts w:hint="eastAsia" w:ascii="仿宋" w:hAnsi="仿宋" w:eastAsia="仿宋" w:cs="仿宋"/>
                <w:color w:val="000000" w:themeColor="text1"/>
                <w:sz w:val="24"/>
                <w:szCs w:val="24"/>
                <w:highlight w:val="none"/>
                <w:lang w:eastAsia="zh-CN"/>
                <w14:textFill>
                  <w14:solidFill>
                    <w14:schemeClr w14:val="tx1"/>
                  </w14:solidFill>
                </w14:textFill>
              </w:rPr>
              <w:t>二</w:t>
            </w:r>
            <w:r>
              <w:rPr>
                <w:rFonts w:hint="eastAsia" w:ascii="仿宋" w:hAnsi="仿宋" w:eastAsia="仿宋" w:cs="仿宋"/>
                <w:color w:val="000000" w:themeColor="text1"/>
                <w:sz w:val="24"/>
                <w:szCs w:val="24"/>
                <w:highlight w:val="none"/>
                <w14:textFill>
                  <w14:solidFill>
                    <w14:schemeClr w14:val="tx1"/>
                  </w14:solidFill>
                </w14:textFill>
              </w:rPr>
              <w:t>章</w:t>
            </w:r>
            <w:r>
              <w:rPr>
                <w:rFonts w:hint="eastAsia" w:ascii="仿宋" w:hAnsi="仿宋" w:eastAsia="仿宋" w:cs="仿宋"/>
                <w:color w:val="000000" w:themeColor="text1"/>
                <w:sz w:val="24"/>
                <w:szCs w:val="24"/>
                <w:highlight w:val="none"/>
                <w:lang w:val="en-US" w:eastAsia="zh-CN"/>
                <w14:textFill>
                  <w14:solidFill>
                    <w14:schemeClr w14:val="tx1"/>
                  </w14:solidFill>
                </w14:textFill>
              </w:rPr>
              <w:t>第</w:t>
            </w:r>
            <w:r>
              <w:rPr>
                <w:rFonts w:hint="eastAsia" w:ascii="仿宋" w:hAnsi="仿宋" w:eastAsia="仿宋" w:cs="仿宋"/>
                <w:color w:val="000000" w:themeColor="text1"/>
                <w:sz w:val="24"/>
                <w:szCs w:val="24"/>
                <w:highlight w:val="none"/>
                <w:lang w:eastAsia="zh-CN"/>
                <w14:textFill>
                  <w14:solidFill>
                    <w14:schemeClr w14:val="tx1"/>
                  </w14:solidFill>
                </w14:textFill>
              </w:rPr>
              <w:t>一</w:t>
            </w:r>
            <w:r>
              <w:rPr>
                <w:rFonts w:hint="eastAsia" w:ascii="仿宋" w:hAnsi="仿宋" w:eastAsia="仿宋" w:cs="仿宋"/>
                <w:color w:val="000000" w:themeColor="text1"/>
                <w:sz w:val="24"/>
                <w:szCs w:val="24"/>
                <w:highlight w:val="none"/>
                <w:lang w:val="en-US" w:eastAsia="zh-CN"/>
                <w14:textFill>
                  <w14:solidFill>
                    <w14:schemeClr w14:val="tx1"/>
                  </w14:solidFill>
                </w14:textFill>
              </w:rPr>
              <w:t>条</w:t>
            </w:r>
            <w:r>
              <w:rPr>
                <w:rFonts w:hint="eastAsia" w:ascii="仿宋" w:hAnsi="仿宋" w:eastAsia="仿宋" w:cs="仿宋"/>
                <w:color w:val="000000" w:themeColor="text1"/>
                <w:sz w:val="24"/>
                <w:szCs w:val="24"/>
                <w:highlight w:val="none"/>
                <w14:textFill>
                  <w14:solidFill>
                    <w14:schemeClr w14:val="tx1"/>
                  </w14:solidFill>
                </w14:textFill>
              </w:rPr>
              <w:t>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1265" w:type="dxa"/>
            <w:vAlign w:val="center"/>
          </w:tcPr>
          <w:p>
            <w:pPr>
              <w:shd w:val="clear"/>
              <w:ind w:firstLine="0" w:firstLineChars="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开启响应文件</w:t>
            </w:r>
          </w:p>
        </w:tc>
        <w:tc>
          <w:tcPr>
            <w:tcW w:w="7323" w:type="dxa"/>
            <w:vAlign w:val="center"/>
          </w:tcPr>
          <w:p>
            <w:pPr>
              <w:shd w:val="clear"/>
              <w:ind w:firstLine="0" w:firstLineChars="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3.1采购人组织开启响应文件会议。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default" w:ascii="仿宋" w:hAnsi="仿宋" w:eastAsia="仿宋" w:cs="仿宋"/>
                <w:color w:val="000000" w:themeColor="text1"/>
                <w:sz w:val="24"/>
                <w:szCs w:val="24"/>
                <w:highlight w:val="none"/>
                <w:lang w:val="en-US" w:eastAsia="zh-CN"/>
                <w14:textFill>
                  <w14:solidFill>
                    <w14:schemeClr w14:val="tx1"/>
                  </w14:solidFill>
                </w14:textFill>
              </w:rPr>
              <w:t>4</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审查</w:t>
            </w:r>
            <w:r>
              <w:rPr>
                <w:rFonts w:hint="eastAsia" w:ascii="仿宋" w:hAnsi="仿宋" w:eastAsia="仿宋" w:cs="仿宋"/>
                <w:color w:val="000000" w:themeColor="text1"/>
                <w:sz w:val="24"/>
                <w:szCs w:val="24"/>
                <w:highlight w:val="none"/>
                <w14:textFill>
                  <w14:solidFill>
                    <w14:schemeClr w14:val="tx1"/>
                  </w14:solidFill>
                </w14:textFill>
              </w:rPr>
              <w:t>办法</w:t>
            </w:r>
          </w:p>
        </w:tc>
        <w:tc>
          <w:tcPr>
            <w:tcW w:w="7323" w:type="dxa"/>
            <w:vAlign w:val="center"/>
          </w:tcPr>
          <w:p>
            <w:pPr>
              <w:numPr>
                <w:ilvl w:val="0"/>
                <w:numId w:val="0"/>
              </w:numPr>
              <w:shd w:val="clear"/>
              <w:spacing w:line="240" w:lineRule="auto"/>
              <w:ind w:firstLine="0" w:firstLineChars="0"/>
              <w:rPr>
                <w:rFonts w:hint="eastAsia" w:ascii="仿宋" w:hAnsi="仿宋" w:eastAsia="仿宋" w:cs="仿宋"/>
                <w:color w:val="000000" w:themeColor="text1"/>
                <w:kern w:val="0"/>
                <w:sz w:val="24"/>
                <w:szCs w:val="24"/>
                <w:highlight w:val="none"/>
                <w:lang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4.1</w:t>
            </w:r>
            <w:r>
              <w:rPr>
                <w:rFonts w:hint="eastAsia" w:ascii="仿宋" w:hAnsi="仿宋" w:eastAsia="仿宋" w:cs="仿宋"/>
                <w:color w:val="000000" w:themeColor="text1"/>
                <w:sz w:val="24"/>
                <w:szCs w:val="24"/>
                <w:highlight w:val="none"/>
                <w:shd w:val="clear" w:color="auto" w:fill="auto"/>
                <w:lang w:val="en-US" w:eastAsia="zh-CN"/>
                <w14:textFill>
                  <w14:solidFill>
                    <w14:schemeClr w14:val="tx1"/>
                  </w14:solidFill>
                </w14:textFill>
              </w:rPr>
              <w:t>根据第四章审查办法审</w:t>
            </w:r>
            <w:r>
              <w:rPr>
                <w:rFonts w:hint="eastAsia" w:ascii="仿宋" w:hAnsi="仿宋" w:eastAsia="仿宋" w:cs="仿宋"/>
                <w:color w:val="000000" w:themeColor="text1"/>
                <w:sz w:val="24"/>
                <w:szCs w:val="24"/>
                <w:highlight w:val="none"/>
                <w:lang w:val="en-US" w:eastAsia="zh-CN"/>
                <w14:textFill>
                  <w14:solidFill>
                    <w14:schemeClr w14:val="tx1"/>
                  </w14:solidFill>
                </w14:textFill>
              </w:rPr>
              <w:t>查响应文件有效性及符合性，</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选出每个砂源地矿区/标段的</w:t>
            </w:r>
            <w:r>
              <w:rPr>
                <w:rFonts w:hint="eastAsia" w:ascii="仿宋" w:hAnsi="仿宋" w:eastAsia="仿宋" w:cs="仿宋"/>
                <w:color w:val="000000" w:themeColor="text1"/>
                <w:kern w:val="0"/>
                <w:sz w:val="24"/>
                <w:szCs w:val="24"/>
                <w:highlight w:val="none"/>
                <w:lang w:bidi="ar"/>
                <w14:textFill>
                  <w14:solidFill>
                    <w14:schemeClr w14:val="tx1"/>
                  </w14:solidFill>
                </w14:textFill>
              </w:rPr>
              <w:t>有效</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供应商。</w:t>
            </w:r>
          </w:p>
          <w:p>
            <w:pPr>
              <w:numPr>
                <w:ilvl w:val="0"/>
                <w:numId w:val="0"/>
              </w:numPr>
              <w:shd w:val="clear"/>
              <w:spacing w:line="240" w:lineRule="auto"/>
              <w:ind w:firstLine="0" w:firstLineChars="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4.2同一砂源地矿区/标段入选的矿业权人或矿业权人授权经销商或矿业权人授权经销商合法授权的分销商不超过1家</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pPr>
              <w:numPr>
                <w:ilvl w:val="0"/>
                <w:numId w:val="0"/>
              </w:numPr>
              <w:shd w:val="clear"/>
              <w:spacing w:line="240" w:lineRule="auto"/>
              <w:ind w:firstLine="0" w:firstLineChars="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【若同一砂源地矿区/标段出现两个或两个以上不同层级的供应商同时响应，按以下优先级顺序择优选择入库：第一优先级：</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矿业权人；第二优先级：矿业权人授权经销商；第三优先级：矿业权人授权经销商合法授权的分销商。优先级的认定以供应商提供的授权链条证明文件为准，授权链条须完整清晰，可溯源至源头矿业权人。采购人有权根据授权层级及授权链完整性，确定该矿区/标段的唯一入库供应商。</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供应商考察</w:t>
            </w:r>
          </w:p>
        </w:tc>
        <w:tc>
          <w:tcPr>
            <w:tcW w:w="7323" w:type="dxa"/>
            <w:vAlign w:val="center"/>
          </w:tcPr>
          <w:p>
            <w:pPr>
              <w:shd w:val="clear"/>
              <w:ind w:firstLine="0" w:firstLineChars="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5.1采购人对通过资格审查的供应商进行现场考察。</w:t>
            </w:r>
          </w:p>
          <w:p>
            <w:pPr>
              <w:shd w:val="clear"/>
              <w:ind w:firstLine="0" w:firstLineChars="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5.2采购人出具《供应商现场考察评价表》，明确考察结论（合格/不合格）。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成交</w:t>
            </w:r>
            <w:r>
              <w:rPr>
                <w:rFonts w:hint="eastAsia" w:ascii="仿宋" w:hAnsi="仿宋" w:eastAsia="仿宋" w:cs="仿宋"/>
                <w:color w:val="000000" w:themeColor="text1"/>
                <w:sz w:val="24"/>
                <w:szCs w:val="24"/>
                <w:highlight w:val="none"/>
                <w:lang w:eastAsia="zh-CN"/>
                <w14:textFill>
                  <w14:solidFill>
                    <w14:schemeClr w14:val="tx1"/>
                  </w14:solidFill>
                </w14:textFill>
              </w:rPr>
              <w:t>结果</w:t>
            </w:r>
            <w:r>
              <w:rPr>
                <w:rFonts w:hint="eastAsia" w:ascii="仿宋" w:hAnsi="仿宋" w:eastAsia="仿宋" w:cs="仿宋"/>
                <w:color w:val="000000" w:themeColor="text1"/>
                <w:sz w:val="24"/>
                <w:szCs w:val="24"/>
                <w:highlight w:val="none"/>
                <w14:textFill>
                  <w14:solidFill>
                    <w14:schemeClr w14:val="tx1"/>
                  </w14:solidFill>
                </w14:textFill>
              </w:rPr>
              <w:t>公示</w:t>
            </w:r>
          </w:p>
        </w:tc>
        <w:tc>
          <w:tcPr>
            <w:tcW w:w="7323"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sym w:font="Wingdings" w:char="00FE"/>
            </w:r>
            <w:r>
              <w:rPr>
                <w:rFonts w:hint="eastAsia" w:ascii="仿宋" w:hAnsi="仿宋" w:eastAsia="仿宋" w:cs="仿宋"/>
                <w:color w:val="000000" w:themeColor="text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发布媒体</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公示成交供应商名单。</w:t>
            </w:r>
          </w:p>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公示期为</w:t>
            </w:r>
            <w:r>
              <w:rPr>
                <w:rFonts w:hint="eastAsia" w:ascii="仿宋" w:hAnsi="仿宋" w:eastAsia="仿宋" w:cs="仿宋"/>
                <w:color w:val="000000" w:themeColor="text1"/>
                <w:sz w:val="24"/>
                <w:szCs w:val="24"/>
                <w:highlight w:val="none"/>
                <w:lang w:val="en-US" w:eastAsia="zh-CN"/>
                <w14:textFill>
                  <w14:solidFill>
                    <w14:schemeClr w14:val="tx1"/>
                  </w14:solidFill>
                </w14:textFill>
              </w:rPr>
              <w:t>1个工作日</w:t>
            </w:r>
            <w:r>
              <w:rPr>
                <w:rFonts w:hint="eastAsia" w:ascii="仿宋" w:hAnsi="仿宋" w:eastAsia="仿宋" w:cs="仿宋"/>
                <w:color w:val="000000" w:themeColor="text1"/>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成交通知书</w:t>
            </w:r>
          </w:p>
        </w:tc>
        <w:tc>
          <w:tcPr>
            <w:tcW w:w="7323"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采购人应在确定</w:t>
            </w:r>
            <w:r>
              <w:rPr>
                <w:rFonts w:hint="eastAsia" w:ascii="仿宋" w:hAnsi="仿宋" w:eastAsia="仿宋" w:cs="仿宋"/>
                <w:color w:val="000000" w:themeColor="text1"/>
                <w:sz w:val="24"/>
                <w:szCs w:val="24"/>
                <w:highlight w:val="none"/>
                <w:lang w:eastAsia="zh-CN"/>
                <w14:textFill>
                  <w14:solidFill>
                    <w14:schemeClr w14:val="tx1"/>
                  </w14:solidFill>
                </w14:textFill>
              </w:rPr>
              <w:t>成交人</w:t>
            </w:r>
            <w:r>
              <w:rPr>
                <w:rFonts w:hint="eastAsia" w:ascii="仿宋" w:hAnsi="仿宋" w:eastAsia="仿宋" w:cs="仿宋"/>
                <w:color w:val="000000" w:themeColor="text1"/>
                <w:sz w:val="24"/>
                <w:szCs w:val="24"/>
                <w:highlight w:val="none"/>
                <w14:textFill>
                  <w14:solidFill>
                    <w14:schemeClr w14:val="tx1"/>
                  </w14:solidFill>
                </w14:textFill>
              </w:rPr>
              <w:t>后及时向</w:t>
            </w:r>
            <w:r>
              <w:rPr>
                <w:rFonts w:hint="eastAsia" w:ascii="仿宋" w:hAnsi="仿宋" w:eastAsia="仿宋" w:cs="仿宋"/>
                <w:color w:val="000000" w:themeColor="text1"/>
                <w:sz w:val="24"/>
                <w:szCs w:val="24"/>
                <w:highlight w:val="none"/>
                <w:lang w:eastAsia="zh-CN"/>
                <w14:textFill>
                  <w14:solidFill>
                    <w14:schemeClr w14:val="tx1"/>
                  </w14:solidFill>
                </w14:textFill>
              </w:rPr>
              <w:t>成交人</w:t>
            </w:r>
            <w:r>
              <w:rPr>
                <w:rFonts w:hint="eastAsia" w:ascii="仿宋" w:hAnsi="仿宋" w:eastAsia="仿宋" w:cs="仿宋"/>
                <w:color w:val="000000" w:themeColor="text1"/>
                <w:sz w:val="24"/>
                <w:szCs w:val="24"/>
                <w:highlight w:val="none"/>
                <w14:textFill>
                  <w14:solidFill>
                    <w14:schemeClr w14:val="tx1"/>
                  </w14:solidFill>
                </w14:textFill>
              </w:rPr>
              <w:t>发出成交通知书。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缴纳入库保证金</w:t>
            </w:r>
          </w:p>
        </w:tc>
        <w:tc>
          <w:tcPr>
            <w:tcW w:w="7323" w:type="dxa"/>
            <w:vAlign w:val="center"/>
          </w:tcPr>
          <w:p>
            <w:pPr>
              <w:shd w:val="clear"/>
              <w:ind w:firstLine="0" w:firstLineChars="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成交人应在收到成交通知书后</w:t>
            </w:r>
            <w:r>
              <w:rPr>
                <w:rFonts w:hint="eastAsia" w:ascii="仿宋" w:hAnsi="仿宋" w:eastAsia="仿宋" w:cs="仿宋"/>
                <w:color w:val="000000" w:themeColor="text1"/>
                <w:sz w:val="24"/>
                <w:szCs w:val="24"/>
                <w:highlight w:val="none"/>
                <w:lang w:val="en-US" w:eastAsia="zh-CN"/>
                <w14:textFill>
                  <w14:solidFill>
                    <w14:schemeClr w14:val="tx1"/>
                  </w14:solidFill>
                </w14:textFill>
              </w:rPr>
              <w:t>5个工作日内缴纳入库保证金。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6" w:type="dxa"/>
            <w:vAlign w:val="center"/>
          </w:tcPr>
          <w:p>
            <w:pPr>
              <w:shd w:val="clear"/>
              <w:ind w:firstLine="0" w:firstLineChars="0"/>
              <w:jc w:val="center"/>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p>
        </w:tc>
        <w:tc>
          <w:tcPr>
            <w:tcW w:w="1265"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签订书面合同</w:t>
            </w:r>
          </w:p>
        </w:tc>
        <w:tc>
          <w:tcPr>
            <w:tcW w:w="7323" w:type="dxa"/>
            <w:vAlign w:val="center"/>
          </w:tcPr>
          <w:p>
            <w:pPr>
              <w:shd w:val="clear"/>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成交通知书发出后，30个日历天内</w:t>
            </w:r>
            <w:r>
              <w:rPr>
                <w:rFonts w:hint="eastAsia" w:ascii="仿宋" w:hAnsi="仿宋" w:eastAsia="仿宋" w:cs="仿宋"/>
                <w:color w:val="000000" w:themeColor="text1"/>
                <w:sz w:val="24"/>
                <w:szCs w:val="24"/>
                <w:highlight w:val="none"/>
                <w14:textFill>
                  <w14:solidFill>
                    <w14:schemeClr w14:val="tx1"/>
                  </w14:solidFill>
                </w14:textFill>
              </w:rPr>
              <w:t>和成交人签订《采购框架协议》。</w:t>
            </w:r>
          </w:p>
        </w:tc>
      </w:tr>
    </w:tbl>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br w:type="page"/>
      </w:r>
    </w:p>
    <w:p>
      <w:pPr>
        <w:pStyle w:val="14"/>
        <w:numPr>
          <w:ilvl w:val="0"/>
          <w:numId w:val="0"/>
        </w:numPr>
        <w:spacing w:line="240" w:lineRule="auto"/>
        <w:ind w:leftChars="-200"/>
        <w:jc w:val="center"/>
        <w:outlineLvl w:val="0"/>
        <w:rPr>
          <w:rFonts w:hint="eastAsia" w:ascii="黑体" w:hAnsi="黑体" w:eastAsia="黑体" w:cs="黑体"/>
          <w:color w:val="auto"/>
          <w:kern w:val="0"/>
          <w:sz w:val="32"/>
          <w:szCs w:val="32"/>
          <w:lang w:val="en-US" w:eastAsia="zh-CN" w:bidi="ar"/>
        </w:rPr>
      </w:pPr>
      <w:bookmarkStart w:id="11" w:name="_Toc21709"/>
      <w:r>
        <w:rPr>
          <w:rFonts w:hint="eastAsia" w:ascii="黑体" w:hAnsi="黑体" w:eastAsia="黑体" w:cs="黑体"/>
          <w:color w:val="auto"/>
          <w:kern w:val="0"/>
          <w:sz w:val="32"/>
          <w:szCs w:val="32"/>
          <w:lang w:val="en-US" w:eastAsia="zh-CN" w:bidi="ar"/>
        </w:rPr>
        <w:t>第四章 审查办法</w:t>
      </w:r>
      <w:bookmarkEnd w:id="11"/>
    </w:p>
    <w:p>
      <w:pPr>
        <w:pStyle w:val="14"/>
        <w:numPr>
          <w:ilvl w:val="0"/>
          <w:numId w:val="0"/>
        </w:numPr>
        <w:spacing w:line="240" w:lineRule="auto"/>
        <w:ind w:left="0" w:leftChars="0" w:firstLine="0" w:firstLineChars="0"/>
        <w:outlineLvl w:val="9"/>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审查方法</w:t>
      </w:r>
    </w:p>
    <w:tbl>
      <w:tblPr>
        <w:tblStyle w:val="19"/>
        <w:tblW w:w="8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9"/>
        <w:gridCol w:w="5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9" w:type="dxa"/>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审查</w:t>
            </w:r>
            <w:r>
              <w:rPr>
                <w:rFonts w:hint="eastAsia" w:ascii="仿宋" w:hAnsi="仿宋" w:eastAsia="仿宋" w:cs="仿宋"/>
                <w:color w:val="000000" w:themeColor="text1"/>
                <w:kern w:val="0"/>
                <w:sz w:val="24"/>
                <w:szCs w:val="24"/>
                <w:highlight w:val="none"/>
                <w:lang w:bidi="ar"/>
                <w14:textFill>
                  <w14:solidFill>
                    <w14:schemeClr w14:val="tx1"/>
                  </w14:solidFill>
                </w14:textFill>
              </w:rPr>
              <w:t>因素</w:t>
            </w:r>
          </w:p>
        </w:tc>
        <w:tc>
          <w:tcPr>
            <w:tcW w:w="5065" w:type="dxa"/>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审查</w:t>
            </w:r>
            <w:r>
              <w:rPr>
                <w:rFonts w:hint="eastAsia" w:ascii="仿宋" w:hAnsi="仿宋" w:eastAsia="仿宋" w:cs="仿宋"/>
                <w:color w:val="000000" w:themeColor="text1"/>
                <w:kern w:val="0"/>
                <w:sz w:val="24"/>
                <w:szCs w:val="24"/>
                <w:highlight w:val="none"/>
                <w:lang w:bidi="ar"/>
                <w14:textFill>
                  <w14:solidFill>
                    <w14:schemeClr w14:val="tx1"/>
                  </w14:solidFill>
                </w14:textFill>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供应商名称</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与营业执照一致。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响应函签字盖章</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有响应函，有法定代表人或其授权代理人签字并加盖单位章。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响应文件格式</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符合采购文件“响应文件格式”要求。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法定代表人授权委托</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有授权书，授权书有法定代表人及其委托代理人签字加盖单位公章。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营业执照</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有营业执照。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资</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格</w:t>
            </w:r>
            <w:r>
              <w:rPr>
                <w:rFonts w:hint="eastAsia" w:ascii="仿宋" w:hAnsi="仿宋" w:eastAsia="仿宋" w:cs="仿宋"/>
                <w:color w:val="000000" w:themeColor="text1"/>
                <w:kern w:val="0"/>
                <w:sz w:val="24"/>
                <w:szCs w:val="24"/>
                <w:highlight w:val="none"/>
                <w:lang w:bidi="ar"/>
                <w14:textFill>
                  <w14:solidFill>
                    <w14:schemeClr w14:val="tx1"/>
                  </w14:solidFill>
                </w14:textFill>
              </w:rPr>
              <w:t>证明</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符合</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招募</w:t>
            </w:r>
            <w:r>
              <w:rPr>
                <w:rFonts w:hint="eastAsia" w:ascii="仿宋" w:hAnsi="仿宋" w:eastAsia="仿宋" w:cs="仿宋"/>
                <w:color w:val="000000" w:themeColor="text1"/>
                <w:kern w:val="0"/>
                <w:sz w:val="24"/>
                <w:szCs w:val="24"/>
                <w:highlight w:val="none"/>
                <w:lang w:bidi="ar"/>
                <w14:textFill>
                  <w14:solidFill>
                    <w14:schemeClr w14:val="tx1"/>
                  </w14:solidFill>
                </w14:textFill>
              </w:rPr>
              <w:t>文件的</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资格</w:t>
            </w:r>
            <w:r>
              <w:rPr>
                <w:rFonts w:hint="eastAsia" w:ascii="仿宋" w:hAnsi="仿宋" w:eastAsia="仿宋" w:cs="仿宋"/>
                <w:color w:val="000000" w:themeColor="text1"/>
                <w:kern w:val="0"/>
                <w:sz w:val="24"/>
                <w:szCs w:val="24"/>
                <w:highlight w:val="none"/>
                <w:lang w:bidi="ar"/>
                <w14:textFill>
                  <w14:solidFill>
                    <w14:schemeClr w14:val="tx1"/>
                  </w14:solidFill>
                </w14:textFill>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229" w:type="dxa"/>
            <w:vAlign w:val="center"/>
          </w:tcPr>
          <w:p>
            <w:pPr>
              <w:pStyle w:val="5"/>
              <w:shd w:val="clear"/>
              <w:ind w:firstLine="0" w:firstLineChars="0"/>
              <w:jc w:val="center"/>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其他</w:t>
            </w:r>
          </w:p>
        </w:tc>
        <w:tc>
          <w:tcPr>
            <w:tcW w:w="5065" w:type="dxa"/>
            <w:vAlign w:val="center"/>
          </w:tcPr>
          <w:p>
            <w:pPr>
              <w:pStyle w:val="5"/>
              <w:shd w:val="clear"/>
              <w:ind w:firstLine="0" w:firstLineChars="0"/>
              <w:jc w:val="left"/>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无</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招募</w:t>
            </w:r>
            <w:r>
              <w:rPr>
                <w:rFonts w:hint="eastAsia" w:ascii="仿宋" w:hAnsi="仿宋" w:eastAsia="仿宋" w:cs="仿宋"/>
                <w:color w:val="000000" w:themeColor="text1"/>
                <w:kern w:val="0"/>
                <w:sz w:val="24"/>
                <w:szCs w:val="24"/>
                <w:highlight w:val="none"/>
                <w:lang w:bidi="ar"/>
                <w14:textFill>
                  <w14:solidFill>
                    <w14:schemeClr w14:val="tx1"/>
                  </w14:solidFill>
                </w14:textFill>
              </w:rPr>
              <w:t>文件规定的其他无效响应内容。</w:t>
            </w:r>
          </w:p>
        </w:tc>
      </w:tr>
    </w:tbl>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ind w:left="0" w:leftChars="0" w:firstLine="0" w:firstLineChars="0"/>
        <w:outlineLvl w:val="9"/>
        <w:rPr>
          <w:rFonts w:hint="eastAsia" w:ascii="黑体" w:hAnsi="黑体" w:eastAsia="黑体" w:cs="黑体"/>
          <w:color w:val="auto"/>
          <w:kern w:val="0"/>
          <w:sz w:val="32"/>
          <w:szCs w:val="32"/>
          <w:lang w:val="en-US" w:eastAsia="zh-CN" w:bidi="ar"/>
        </w:rPr>
      </w:pPr>
    </w:p>
    <w:p>
      <w:pPr>
        <w:pStyle w:val="14"/>
        <w:numPr>
          <w:ilvl w:val="0"/>
          <w:numId w:val="0"/>
        </w:numPr>
        <w:ind w:left="0" w:leftChars="0" w:firstLine="0" w:firstLineChars="0"/>
        <w:outlineLvl w:val="0"/>
        <w:rPr>
          <w:rFonts w:hint="eastAsia" w:ascii="黑体" w:hAnsi="黑体" w:eastAsia="黑体" w:cs="黑体"/>
          <w:color w:val="auto"/>
          <w:kern w:val="0"/>
          <w:sz w:val="32"/>
          <w:szCs w:val="32"/>
          <w:lang w:val="en-US" w:eastAsia="zh-CN" w:bidi="ar"/>
        </w:rPr>
        <w:sectPr>
          <w:pgSz w:w="11906" w:h="16838"/>
          <w:pgMar w:top="1440" w:right="1800" w:bottom="1440" w:left="1800" w:header="851" w:footer="992" w:gutter="0"/>
          <w:pgNumType w:fmt="decimal"/>
          <w:cols w:space="425" w:num="1"/>
          <w:docGrid w:type="lines" w:linePitch="312" w:charSpace="0"/>
        </w:sectPr>
      </w:pPr>
    </w:p>
    <w:p>
      <w:pPr>
        <w:pStyle w:val="14"/>
        <w:numPr>
          <w:ilvl w:val="0"/>
          <w:numId w:val="0"/>
        </w:numPr>
        <w:spacing w:line="240" w:lineRule="auto"/>
        <w:ind w:leftChars="-200"/>
        <w:jc w:val="center"/>
        <w:outlineLvl w:val="0"/>
        <w:rPr>
          <w:rFonts w:hint="eastAsia" w:ascii="黑体" w:hAnsi="黑体" w:eastAsia="黑体" w:cs="黑体"/>
          <w:color w:val="auto"/>
          <w:kern w:val="0"/>
          <w:sz w:val="32"/>
          <w:szCs w:val="32"/>
          <w:lang w:val="en-US" w:eastAsia="zh-CN" w:bidi="ar"/>
        </w:rPr>
      </w:pPr>
      <w:bookmarkStart w:id="12" w:name="_Toc18370"/>
      <w:r>
        <w:rPr>
          <w:rFonts w:hint="eastAsia" w:ascii="黑体" w:hAnsi="黑体" w:eastAsia="黑体" w:cs="黑体"/>
          <w:color w:val="auto"/>
          <w:kern w:val="0"/>
          <w:sz w:val="32"/>
          <w:szCs w:val="32"/>
          <w:lang w:val="en-US" w:eastAsia="zh-CN" w:bidi="ar"/>
        </w:rPr>
        <w:t>第五章 响应文件格式</w:t>
      </w:r>
      <w:bookmarkEnd w:id="12"/>
    </w:p>
    <w:p>
      <w:pPr>
        <w:pStyle w:val="5"/>
        <w:shd w:val="clear"/>
        <w:spacing w:beforeLines="0" w:afterLines="0" w:line="560" w:lineRule="exact"/>
        <w:ind w:firstLine="0" w:firstLineChars="0"/>
        <w:jc w:val="both"/>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一、响应函格式：</w:t>
      </w:r>
    </w:p>
    <w:p>
      <w:pPr>
        <w:pStyle w:val="5"/>
        <w:shd w:val="clear"/>
        <w:spacing w:beforeLines="0" w:afterLines="0" w:line="560" w:lineRule="exact"/>
        <w:ind w:firstLine="0" w:firstLineChars="0"/>
        <w:jc w:val="center"/>
        <w:rPr>
          <w:rFonts w:hint="eastAsia" w:ascii="仿宋" w:hAnsi="仿宋" w:eastAsia="仿宋" w:cs="仿宋"/>
          <w:color w:val="000000" w:themeColor="text1"/>
          <w:sz w:val="36"/>
          <w:highlight w:val="none"/>
          <w14:textFill>
            <w14:solidFill>
              <w14:schemeClr w14:val="tx1"/>
            </w14:solidFill>
          </w14:textFill>
        </w:rPr>
      </w:pPr>
      <w:r>
        <w:rPr>
          <w:rFonts w:hint="eastAsia" w:ascii="仿宋" w:hAnsi="仿宋" w:eastAsia="仿宋" w:cs="仿宋"/>
          <w:color w:val="000000" w:themeColor="text1"/>
          <w:sz w:val="36"/>
          <w:highlight w:val="none"/>
          <w14:textFill>
            <w14:solidFill>
              <w14:schemeClr w14:val="tx1"/>
            </w14:solidFill>
          </w14:textFill>
        </w:rPr>
        <w:t>响应函</w:t>
      </w:r>
    </w:p>
    <w:p>
      <w:pPr>
        <w:pStyle w:val="9"/>
        <w:shd w:val="clear"/>
        <w:spacing w:beforeLines="0" w:afterLines="0"/>
        <w:ind w:firstLine="560"/>
        <w:rPr>
          <w:rFonts w:hint="eastAsia" w:ascii="仿宋" w:hAnsi="仿宋" w:eastAsia="仿宋" w:cs="仿宋"/>
          <w:b w:val="0"/>
          <w:color w:val="000000" w:themeColor="text1"/>
          <w:kern w:val="2"/>
          <w:sz w:val="28"/>
          <w:highlight w:val="none"/>
          <w14:textFill>
            <w14:solidFill>
              <w14:schemeClr w14:val="tx1"/>
            </w14:solidFill>
          </w14:textFill>
        </w:rPr>
      </w:pP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lang w:val="en-US" w:eastAsia="zh-CN"/>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佛山市顺博城市发展有限公司</w:t>
      </w:r>
      <w:r>
        <w:rPr>
          <w:rFonts w:hint="eastAsia" w:ascii="仿宋" w:hAnsi="仿宋" w:eastAsia="仿宋" w:cs="仿宋"/>
          <w:b w:val="0"/>
          <w:color w:val="000000" w:themeColor="text1"/>
          <w:kern w:val="2"/>
          <w:sz w:val="28"/>
          <w:highlight w:val="none"/>
          <w:u w:val="single"/>
          <w:lang w:val="en-US" w:eastAsia="zh-CN"/>
          <w14:textFill>
            <w14:solidFill>
              <w14:schemeClr w14:val="tx1"/>
            </w14:solidFill>
          </w14:textFill>
        </w:rPr>
        <w:t xml:space="preserve"> </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我方已仔细研究了</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u w:val="single"/>
          <w:lang w:eastAsia="zh-CN"/>
          <w14:textFill>
            <w14:solidFill>
              <w14:schemeClr w14:val="tx1"/>
            </w14:solidFill>
          </w14:textFill>
        </w:rPr>
        <w:t>顺德区</w:t>
      </w:r>
      <w:r>
        <w:rPr>
          <w:rFonts w:hint="eastAsia" w:ascii="仿宋" w:hAnsi="仿宋" w:eastAsia="仿宋" w:cs="仿宋"/>
          <w:b w:val="0"/>
          <w:color w:val="000000" w:themeColor="text1"/>
          <w:kern w:val="2"/>
          <w:sz w:val="28"/>
          <w:highlight w:val="none"/>
          <w:u w:val="single"/>
          <w14:textFill>
            <w14:solidFill>
              <w14:schemeClr w14:val="tx1"/>
            </w14:solidFill>
          </w14:textFill>
        </w:rPr>
        <w:t>绿色</w:t>
      </w:r>
      <w:r>
        <w:rPr>
          <w:rFonts w:hint="eastAsia" w:ascii="仿宋" w:hAnsi="仿宋" w:eastAsia="仿宋" w:cs="仿宋"/>
          <w:b w:val="0"/>
          <w:color w:val="000000" w:themeColor="text1"/>
          <w:kern w:val="2"/>
          <w:sz w:val="28"/>
          <w:highlight w:val="none"/>
          <w:u w:val="single"/>
          <w:lang w:eastAsia="zh-CN"/>
          <w14:textFill>
            <w14:solidFill>
              <w14:schemeClr w14:val="tx1"/>
            </w14:solidFill>
          </w14:textFill>
        </w:rPr>
        <w:t>低碳</w:t>
      </w:r>
      <w:r>
        <w:rPr>
          <w:rFonts w:hint="eastAsia" w:ascii="仿宋" w:hAnsi="仿宋" w:eastAsia="仿宋" w:cs="仿宋"/>
          <w:b w:val="0"/>
          <w:color w:val="000000" w:themeColor="text1"/>
          <w:kern w:val="2"/>
          <w:sz w:val="28"/>
          <w:highlight w:val="none"/>
          <w:u w:val="single"/>
          <w14:textFill>
            <w14:solidFill>
              <w14:schemeClr w14:val="tx1"/>
            </w14:solidFill>
          </w14:textFill>
        </w:rPr>
        <w:t>建材项目海砂原材料供应商招募项目</w:t>
      </w:r>
      <w:r>
        <w:rPr>
          <w:rFonts w:hint="eastAsia" w:ascii="仿宋" w:hAnsi="仿宋" w:eastAsia="仿宋" w:cs="仿宋"/>
          <w:b w:val="0"/>
          <w:color w:val="000000" w:themeColor="text1"/>
          <w:kern w:val="2"/>
          <w:sz w:val="28"/>
          <w:highlight w:val="none"/>
          <w:u w:val="single"/>
          <w:lang w:eastAsia="zh-CN"/>
          <w14:textFill>
            <w14:solidFill>
              <w14:schemeClr w14:val="tx1"/>
            </w14:solidFill>
          </w14:textFill>
        </w:rPr>
        <w:t>（第二次）</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lang w:eastAsia="zh-CN"/>
          <w14:textFill>
            <w14:solidFill>
              <w14:schemeClr w14:val="tx1"/>
            </w14:solidFill>
          </w14:textFill>
        </w:rPr>
        <w:t>招募</w:t>
      </w:r>
      <w:r>
        <w:rPr>
          <w:rFonts w:hint="eastAsia" w:ascii="仿宋" w:hAnsi="仿宋" w:eastAsia="仿宋" w:cs="仿宋"/>
          <w:b w:val="0"/>
          <w:color w:val="000000" w:themeColor="text1"/>
          <w:kern w:val="2"/>
          <w:sz w:val="28"/>
          <w:highlight w:val="none"/>
          <w14:textFill>
            <w14:solidFill>
              <w14:schemeClr w14:val="tx1"/>
            </w14:solidFill>
          </w14:textFill>
        </w:rPr>
        <w:t>文件的全部内容，及其相关文件，完全清楚理解其内容要求及规约，对文件的合理性、公正性和程序安排均没有任何异议、质疑和误解之处，完成本项目并按合同约定履行义务。</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我方所提供的一切文件均已经过认真、严格的审核，其内容已充分表达了我方的真实意愿，没有任何遗漏、虚假、侵权之处，若出现违背诚实信用和商业道德之行为，愿独自承担相应的法律责任。</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我方响应文件包括以下内容：</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lang w:eastAsia="zh-CN"/>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（1）响应函</w:t>
      </w:r>
      <w:r>
        <w:rPr>
          <w:rFonts w:hint="eastAsia" w:ascii="仿宋" w:hAnsi="仿宋" w:eastAsia="仿宋" w:cs="仿宋"/>
          <w:b w:val="0"/>
          <w:color w:val="000000" w:themeColor="text1"/>
          <w:kern w:val="2"/>
          <w:sz w:val="28"/>
          <w:highlight w:val="none"/>
          <w:lang w:eastAsia="zh-CN"/>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lang w:eastAsia="zh-CN"/>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（2）法定代表人证明或授权委托书</w:t>
      </w:r>
      <w:r>
        <w:rPr>
          <w:rFonts w:hint="eastAsia" w:ascii="仿宋" w:hAnsi="仿宋" w:eastAsia="仿宋" w:cs="仿宋"/>
          <w:b w:val="0"/>
          <w:color w:val="000000" w:themeColor="text1"/>
          <w:kern w:val="2"/>
          <w:sz w:val="28"/>
          <w:highlight w:val="none"/>
          <w:lang w:eastAsia="zh-CN"/>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lang w:eastAsia="zh-CN"/>
          <w14:textFill>
            <w14:solidFill>
              <w14:schemeClr w14:val="tx1"/>
            </w14:solidFill>
          </w14:textFill>
        </w:rPr>
      </w:pPr>
      <w:r>
        <w:rPr>
          <w:rFonts w:hint="eastAsia" w:ascii="仿宋" w:hAnsi="仿宋" w:eastAsia="仿宋" w:cs="仿宋"/>
          <w:b w:val="0"/>
          <w:color w:val="000000" w:themeColor="text1"/>
          <w:kern w:val="2"/>
          <w:sz w:val="28"/>
          <w:highlight w:val="none"/>
          <w:lang w:eastAsia="zh-CN"/>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3</w:t>
      </w:r>
      <w:r>
        <w:rPr>
          <w:rFonts w:hint="eastAsia" w:ascii="仿宋" w:hAnsi="仿宋" w:eastAsia="仿宋" w:cs="仿宋"/>
          <w:b w:val="0"/>
          <w:color w:val="000000" w:themeColor="text1"/>
          <w:kern w:val="2"/>
          <w:sz w:val="28"/>
          <w:highlight w:val="none"/>
          <w:lang w:eastAsia="zh-CN"/>
          <w14:textFill>
            <w14:solidFill>
              <w14:schemeClr w14:val="tx1"/>
            </w14:solidFill>
          </w14:textFill>
        </w:rPr>
        <w:t>）</w:t>
      </w:r>
      <w:r>
        <w:rPr>
          <w:rFonts w:hint="eastAsia" w:ascii="仿宋" w:hAnsi="仿宋" w:eastAsia="仿宋" w:cs="仿宋"/>
          <w:b w:val="0"/>
          <w:color w:val="000000" w:themeColor="text1"/>
          <w:kern w:val="2"/>
          <w:sz w:val="28"/>
          <w:highlight w:val="none"/>
          <w14:textFill>
            <w14:solidFill>
              <w14:schemeClr w14:val="tx1"/>
            </w14:solidFill>
          </w14:textFill>
        </w:rPr>
        <w:t>资格审查资料</w:t>
      </w:r>
      <w:r>
        <w:rPr>
          <w:rFonts w:hint="eastAsia" w:ascii="仿宋" w:hAnsi="仿宋" w:eastAsia="仿宋" w:cs="仿宋"/>
          <w:b w:val="0"/>
          <w:color w:val="000000" w:themeColor="text1"/>
          <w:kern w:val="2"/>
          <w:sz w:val="28"/>
          <w:highlight w:val="none"/>
          <w:lang w:eastAsia="zh-CN"/>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响应文件的上述组成部分如有不一致的内容，以响应函为准。</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我方承诺，我方响应采购文件的全部要求。</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我方承诺响应</w:t>
      </w:r>
      <w:r>
        <w:rPr>
          <w:rFonts w:hint="eastAsia" w:ascii="仿宋" w:hAnsi="仿宋" w:eastAsia="仿宋" w:cs="仿宋"/>
          <w:b w:val="0"/>
          <w:color w:val="000000" w:themeColor="text1"/>
          <w:kern w:val="2"/>
          <w:sz w:val="28"/>
          <w:highlight w:val="none"/>
          <w:lang w:val="en-GB"/>
          <w14:textFill>
            <w14:solidFill>
              <w14:schemeClr w14:val="tx1"/>
            </w14:solidFill>
          </w14:textFill>
        </w:rPr>
        <w:t>有效期自递交</w:t>
      </w:r>
      <w:r>
        <w:rPr>
          <w:rFonts w:hint="eastAsia" w:ascii="仿宋" w:hAnsi="仿宋" w:eastAsia="仿宋" w:cs="仿宋"/>
          <w:b w:val="0"/>
          <w:color w:val="000000" w:themeColor="text1"/>
          <w:kern w:val="2"/>
          <w:sz w:val="28"/>
          <w:highlight w:val="none"/>
          <w14:textFill>
            <w14:solidFill>
              <w14:schemeClr w14:val="tx1"/>
            </w14:solidFill>
          </w14:textFill>
        </w:rPr>
        <w:t>响应</w:t>
      </w:r>
      <w:r>
        <w:rPr>
          <w:rFonts w:hint="eastAsia" w:ascii="仿宋" w:hAnsi="仿宋" w:eastAsia="仿宋" w:cs="仿宋"/>
          <w:b w:val="0"/>
          <w:color w:val="000000" w:themeColor="text1"/>
          <w:kern w:val="2"/>
          <w:sz w:val="28"/>
          <w:highlight w:val="none"/>
          <w:lang w:val="en-GB"/>
          <w14:textFill>
            <w14:solidFill>
              <w14:schemeClr w14:val="tx1"/>
            </w14:solidFill>
          </w14:textFill>
        </w:rPr>
        <w:t>文件起至90天</w:t>
      </w:r>
      <w:r>
        <w:rPr>
          <w:rFonts w:hint="eastAsia" w:ascii="仿宋" w:hAnsi="仿宋" w:eastAsia="仿宋" w:cs="仿宋"/>
          <w:b w:val="0"/>
          <w:color w:val="000000" w:themeColor="text1"/>
          <w:kern w:val="2"/>
          <w:sz w:val="28"/>
          <w:highlight w:val="none"/>
          <w14:textFill>
            <w14:solidFill>
              <w14:schemeClr w14:val="tx1"/>
            </w14:solidFill>
          </w14:textFill>
        </w:rPr>
        <w:t>，若我方获中选资格，响应有效期则相应延长至项目最终验收合格之日，不论在任何时候，定将按贵方的要求在规定时间内如实提</w:t>
      </w:r>
      <w:r>
        <w:rPr>
          <w:rFonts w:hint="eastAsia" w:ascii="仿宋" w:hAnsi="仿宋" w:eastAsia="仿宋" w:cs="仿宋"/>
          <w:b w:val="0"/>
          <w:color w:val="000000" w:themeColor="text1"/>
          <w:kern w:val="2"/>
          <w:sz w:val="28"/>
          <w:highlight w:val="none"/>
          <w:lang w:val="en-GB"/>
          <w14:textFill>
            <w14:solidFill>
              <w14:schemeClr w14:val="tx1"/>
            </w14:solidFill>
          </w14:textFill>
        </w:rPr>
        <w:t>供一切补充材料。</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我方承诺在采购文件有效期内不撤销响应文件。</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如我方成交，我方承诺：</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lang w:eastAsia="zh-CN"/>
          <w14:textFill>
            <w14:solidFill>
              <w14:schemeClr w14:val="tx1"/>
            </w14:solidFill>
          </w14:textFill>
        </w:rPr>
      </w:pPr>
      <w:r>
        <w:rPr>
          <w:rFonts w:hint="eastAsia" w:ascii="仿宋" w:hAnsi="仿宋" w:eastAsia="仿宋" w:cs="仿宋"/>
          <w:b w:val="0"/>
          <w:color w:val="000000" w:themeColor="text1"/>
          <w:kern w:val="2"/>
          <w:sz w:val="28"/>
          <w:highlight w:val="none"/>
          <w:lang w:eastAsia="zh-CN"/>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1</w:t>
      </w:r>
      <w:r>
        <w:rPr>
          <w:rFonts w:hint="eastAsia" w:ascii="仿宋" w:hAnsi="仿宋" w:eastAsia="仿宋" w:cs="仿宋"/>
          <w:b w:val="0"/>
          <w:color w:val="000000" w:themeColor="text1"/>
          <w:kern w:val="2"/>
          <w:sz w:val="28"/>
          <w:highlight w:val="none"/>
          <w:lang w:eastAsia="zh-CN"/>
          <w14:textFill>
            <w14:solidFill>
              <w14:schemeClr w14:val="tx1"/>
            </w14:solidFill>
          </w14:textFill>
        </w:rPr>
        <w:t>）承诺每一批次的海砂原材料来源均合法合规，并提供完整的溯源链证明文件（包括采矿许可、不动产登记证明、来源证明、水路运输单、相关发票等）。我方采用你方认可的信息化手段（如电子运单、GPS轨迹记录、区块链存证等）实现物流运输全程可追溯。</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lang w:eastAsia="zh-CN"/>
          <w14:textFill>
            <w14:solidFill>
              <w14:schemeClr w14:val="tx1"/>
            </w14:solidFill>
          </w14:textFill>
        </w:rPr>
      </w:pPr>
      <w:r>
        <w:rPr>
          <w:rFonts w:hint="eastAsia" w:ascii="仿宋" w:hAnsi="仿宋" w:eastAsia="仿宋" w:cs="仿宋"/>
          <w:b w:val="0"/>
          <w:color w:val="000000" w:themeColor="text1"/>
          <w:kern w:val="2"/>
          <w:sz w:val="28"/>
          <w:highlight w:val="none"/>
          <w:lang w:eastAsia="zh-CN"/>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2</w:t>
      </w:r>
      <w:r>
        <w:rPr>
          <w:rFonts w:hint="eastAsia" w:ascii="仿宋" w:hAnsi="仿宋" w:eastAsia="仿宋" w:cs="仿宋"/>
          <w:b w:val="0"/>
          <w:color w:val="000000" w:themeColor="text1"/>
          <w:kern w:val="2"/>
          <w:sz w:val="28"/>
          <w:highlight w:val="none"/>
          <w:lang w:eastAsia="zh-CN"/>
          <w14:textFill>
            <w14:solidFill>
              <w14:schemeClr w14:val="tx1"/>
            </w14:solidFill>
          </w14:textFill>
        </w:rPr>
        <w:t>）提供的海砂（未淡化）原材料均符合国家及行业相关质量标准，在第一次供货时提供近一年内由具备CMA/CNAS资质的第三方检测机构出具的产品质量检测报告（检测项目须覆盖颗粒级配、含泥量、贝壳含量、氯离子含量等关键指标须符合国家建筑用砂标准（GB/T14684-2022、JGJ52-2006）及其他国家关于淡化海砂使用的相关规定。</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3</w:t>
      </w:r>
      <w:r>
        <w:rPr>
          <w:rFonts w:hint="eastAsia" w:ascii="仿宋" w:hAnsi="仿宋" w:eastAsia="仿宋" w:cs="仿宋"/>
          <w:b w:val="0"/>
          <w:color w:val="000000" w:themeColor="text1"/>
          <w:kern w:val="2"/>
          <w:sz w:val="28"/>
          <w:highlight w:val="none"/>
          <w14:textFill>
            <w14:solidFill>
              <w14:schemeClr w14:val="tx1"/>
            </w14:solidFill>
          </w14:textFill>
        </w:rPr>
        <w:t>）在收到通知书后，在规定的期限内与你方签订合同。</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4</w:t>
      </w:r>
      <w:r>
        <w:rPr>
          <w:rFonts w:hint="eastAsia" w:ascii="仿宋" w:hAnsi="仿宋" w:eastAsia="仿宋" w:cs="仿宋"/>
          <w:b w:val="0"/>
          <w:color w:val="000000" w:themeColor="text1"/>
          <w:kern w:val="2"/>
          <w:sz w:val="28"/>
          <w:highlight w:val="none"/>
          <w14:textFill>
            <w14:solidFill>
              <w14:schemeClr w14:val="tx1"/>
            </w14:solidFill>
          </w14:textFill>
        </w:rPr>
        <w:t>）在签订合同时不向你方提出附件条件。</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5</w:t>
      </w:r>
      <w:r>
        <w:rPr>
          <w:rFonts w:hint="eastAsia" w:ascii="仿宋" w:hAnsi="仿宋" w:eastAsia="仿宋" w:cs="仿宋"/>
          <w:b w:val="0"/>
          <w:color w:val="000000" w:themeColor="text1"/>
          <w:kern w:val="2"/>
          <w:sz w:val="28"/>
          <w:highlight w:val="none"/>
          <w14:textFill>
            <w14:solidFill>
              <w14:schemeClr w14:val="tx1"/>
            </w14:solidFill>
          </w14:textFill>
        </w:rPr>
        <w:t>）按照采购文件的要求递交入库保证金。</w:t>
      </w:r>
    </w:p>
    <w:p>
      <w:pPr>
        <w:pStyle w:val="9"/>
        <w:keepNext w:val="0"/>
        <w:keepLines w:val="0"/>
        <w:pageBreakBefore w:val="0"/>
        <w:widowControl w:val="0"/>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u w:val="singl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w:t>
      </w:r>
      <w:r>
        <w:rPr>
          <w:rFonts w:hint="eastAsia" w:ascii="仿宋" w:hAnsi="仿宋" w:eastAsia="仿宋" w:cs="仿宋"/>
          <w:b w:val="0"/>
          <w:color w:val="000000" w:themeColor="text1"/>
          <w:kern w:val="2"/>
          <w:sz w:val="28"/>
          <w:highlight w:val="none"/>
          <w:lang w:val="en-US" w:eastAsia="zh-CN"/>
          <w14:textFill>
            <w14:solidFill>
              <w14:schemeClr w14:val="tx1"/>
            </w14:solidFill>
          </w14:textFill>
        </w:rPr>
        <w:t>6</w:t>
      </w:r>
      <w:r>
        <w:rPr>
          <w:rFonts w:hint="eastAsia" w:ascii="仿宋" w:hAnsi="仿宋" w:eastAsia="仿宋" w:cs="仿宋"/>
          <w:b w:val="0"/>
          <w:color w:val="000000" w:themeColor="text1"/>
          <w:kern w:val="2"/>
          <w:sz w:val="28"/>
          <w:highlight w:val="none"/>
          <w14:textFill>
            <w14:solidFill>
              <w14:schemeClr w14:val="tx1"/>
            </w14:solidFill>
          </w14:textFill>
        </w:rPr>
        <w:t>）在合同期限内完成合同规定的全部义务。</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我方在此声明，所递交的报价响应文件及有关资料内容完整、真实和准确，且不存在采购邀请书中供应商不得存在的情形。</w:t>
      </w:r>
    </w:p>
    <w:p>
      <w:pPr>
        <w:pStyle w:val="9"/>
        <w:keepNext w:val="0"/>
        <w:keepLines w:val="0"/>
        <w:pageBreakBefore w:val="0"/>
        <w:widowControl w:val="0"/>
        <w:numPr>
          <w:ilvl w:val="-1"/>
          <w:numId w:val="0"/>
        </w:numPr>
        <w:shd w:val="clear"/>
        <w:kinsoku/>
        <w:wordWrap/>
        <w:overflowPunct/>
        <w:topLinePunct w:val="0"/>
        <w:autoSpaceDE/>
        <w:autoSpaceDN/>
        <w:bidi w:val="0"/>
        <w:adjustRightInd/>
        <w:snapToGrid/>
        <w:spacing w:beforeLines="0" w:afterLines="0"/>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u w:val="single"/>
          <w:lang w:val="en-US" w:eastAsia="zh-CN"/>
          <w14:textFill>
            <w14:solidFill>
              <w14:schemeClr w14:val="tx1"/>
            </w14:solidFill>
          </w14:textFill>
        </w:rPr>
        <w:t xml:space="preserve">  </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（其他补充说明）。</w:t>
      </w:r>
    </w:p>
    <w:p>
      <w:pPr>
        <w:keepNext w:val="0"/>
        <w:keepLines w:val="0"/>
        <w:pageBreakBefore w:val="0"/>
        <w:widowControl w:val="0"/>
        <w:shd w:val="clea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color w:val="000000" w:themeColor="text1"/>
          <w:kern w:val="2"/>
          <w:sz w:val="28"/>
          <w:highlight w:val="none"/>
          <w14:textFill>
            <w14:solidFill>
              <w14:schemeClr w14:val="tx1"/>
            </w14:solidFill>
          </w14:textFill>
        </w:rPr>
      </w:pPr>
    </w:p>
    <w:p>
      <w:pPr>
        <w:pStyle w:val="2"/>
        <w:rPr>
          <w:rFonts w:hint="eastAsia" w:ascii="仿宋" w:hAnsi="仿宋" w:eastAsia="仿宋" w:cs="仿宋"/>
          <w:b w:val="0"/>
          <w:color w:val="000000" w:themeColor="text1"/>
          <w:kern w:val="2"/>
          <w:sz w:val="28"/>
          <w:highlight w:val="none"/>
          <w14:textFill>
            <w14:solidFill>
              <w14:schemeClr w14:val="tx1"/>
            </w14:solidFill>
          </w14:textFill>
        </w:rPr>
      </w:pPr>
    </w:p>
    <w:p>
      <w:pPr>
        <w:rPr>
          <w:rFonts w:hint="eastAsia"/>
        </w:rPr>
      </w:pPr>
    </w:p>
    <w:p>
      <w:pPr>
        <w:pStyle w:val="9"/>
        <w:shd w:val="clear"/>
        <w:spacing w:beforeLines="0" w:afterLines="0"/>
        <w:ind w:firstLine="560"/>
        <w:jc w:val="right"/>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供应商：</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（单位公章）</w:t>
      </w:r>
    </w:p>
    <w:p>
      <w:pPr>
        <w:pStyle w:val="9"/>
        <w:shd w:val="clear"/>
        <w:spacing w:beforeLines="0" w:afterLines="0"/>
        <w:ind w:firstLine="560"/>
        <w:jc w:val="right"/>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法定代表人或委托代理人：</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（签字或盖章）</w:t>
      </w:r>
    </w:p>
    <w:p>
      <w:pPr>
        <w:pStyle w:val="5"/>
        <w:shd w:val="clear"/>
        <w:spacing w:beforeLines="0" w:afterLines="0"/>
        <w:ind w:firstLine="0" w:firstLineChars="0"/>
        <w:jc w:val="right"/>
        <w:rPr>
          <w:rFonts w:hint="eastAsia" w:ascii="仿宋" w:hAnsi="仿宋" w:eastAsia="仿宋" w:cs="仿宋"/>
          <w:color w:val="000000" w:themeColor="text1"/>
          <w:sz w:val="28"/>
          <w:highlight w:val="none"/>
          <w14:textFill>
            <w14:solidFill>
              <w14:schemeClr w14:val="tx1"/>
            </w14:solidFill>
          </w14:textFill>
        </w:rPr>
        <w:sectPr>
          <w:pgSz w:w="11906" w:h="16838"/>
          <w:pgMar w:top="1389" w:right="1803" w:bottom="1389" w:left="1803" w:header="851" w:footer="992" w:gutter="0"/>
          <w:pgBorders>
            <w:top w:val="none" w:sz="0" w:space="0"/>
            <w:left w:val="none" w:sz="0" w:space="0"/>
            <w:bottom w:val="none" w:sz="0" w:space="0"/>
            <w:right w:val="none" w:sz="0" w:space="0"/>
          </w:pgBorders>
          <w:lnNumType w:countBy="0" w:distance="360"/>
          <w:pgNumType w:fmt="decimal"/>
          <w:cols w:space="0" w:num="1"/>
          <w:rtlGutter w:val="0"/>
          <w:docGrid w:type="lines" w:linePitch="385" w:charSpace="0"/>
        </w:sectPr>
      </w:pPr>
      <w:r>
        <w:rPr>
          <w:rFonts w:hint="eastAsia" w:ascii="仿宋" w:hAnsi="仿宋" w:eastAsia="仿宋" w:cs="仿宋"/>
          <w:color w:val="000000" w:themeColor="text1"/>
          <w:sz w:val="28"/>
          <w:highlight w:val="none"/>
          <w14:textFill>
            <w14:solidFill>
              <w14:schemeClr w14:val="tx1"/>
            </w14:solidFill>
          </w14:textFill>
        </w:rPr>
        <w:t xml:space="preserve">                                    日期：</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年</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月</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日</w:t>
      </w:r>
    </w:p>
    <w:p>
      <w:pPr>
        <w:pStyle w:val="5"/>
        <w:shd w:val="clear"/>
        <w:spacing w:beforeLines="0" w:afterLines="0" w:line="560" w:lineRule="exact"/>
        <w:ind w:firstLine="0" w:firstLineChars="0"/>
        <w:jc w:val="both"/>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二、法定代表人证明或授权委托书</w:t>
      </w:r>
    </w:p>
    <w:p>
      <w:pPr>
        <w:pStyle w:val="5"/>
        <w:shd w:val="clear"/>
        <w:spacing w:beforeLines="0" w:afterLines="0" w:line="560" w:lineRule="exact"/>
        <w:ind w:firstLine="0" w:firstLineChars="0"/>
        <w:jc w:val="center"/>
        <w:rPr>
          <w:rFonts w:hint="eastAsia" w:ascii="仿宋" w:hAnsi="仿宋" w:eastAsia="仿宋" w:cs="仿宋"/>
          <w:b/>
          <w:color w:val="000000" w:themeColor="text1"/>
          <w:sz w:val="28"/>
          <w:highlight w:val="none"/>
          <w14:textFill>
            <w14:solidFill>
              <w14:schemeClr w14:val="tx1"/>
            </w14:solidFill>
          </w14:textFill>
        </w:rPr>
      </w:pPr>
      <w:r>
        <w:rPr>
          <w:rFonts w:hint="eastAsia" w:ascii="仿宋" w:hAnsi="仿宋" w:eastAsia="仿宋" w:cs="仿宋"/>
          <w:b/>
          <w:color w:val="000000" w:themeColor="text1"/>
          <w:sz w:val="28"/>
          <w:highlight w:val="none"/>
          <w14:textFill>
            <w14:solidFill>
              <w14:schemeClr w14:val="tx1"/>
            </w14:solidFill>
          </w14:textFill>
        </w:rPr>
        <w:t>2.1法定代表人/负责人资格证明格式</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720"/>
        <w:jc w:val="center"/>
        <w:textAlignment w:val="auto"/>
        <w:rPr>
          <w:rFonts w:hint="eastAsia" w:ascii="仿宋" w:hAnsi="仿宋" w:eastAsia="仿宋" w:cs="仿宋"/>
          <w:b w:val="0"/>
          <w:color w:val="000000" w:themeColor="text1"/>
          <w:kern w:val="2"/>
          <w:sz w:val="36"/>
          <w:highlight w:val="none"/>
          <w14:textFill>
            <w14:solidFill>
              <w14:schemeClr w14:val="tx1"/>
            </w14:solidFill>
          </w14:textFill>
        </w:rPr>
      </w:pPr>
      <w:r>
        <w:rPr>
          <w:rFonts w:hint="eastAsia" w:ascii="仿宋" w:hAnsi="仿宋" w:eastAsia="仿宋" w:cs="仿宋"/>
          <w:b w:val="0"/>
          <w:color w:val="000000" w:themeColor="text1"/>
          <w:kern w:val="2"/>
          <w:sz w:val="36"/>
          <w:highlight w:val="none"/>
          <w14:textFill>
            <w14:solidFill>
              <w14:schemeClr w14:val="tx1"/>
            </w14:solidFill>
          </w14:textFill>
        </w:rPr>
        <w:t>法定代表人/负责人资格证明</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佛山市顺博城市发展有限公司 </w:t>
      </w:r>
      <w:r>
        <w:rPr>
          <w:rFonts w:hint="eastAsia" w:ascii="仿宋" w:hAnsi="仿宋" w:eastAsia="仿宋" w:cs="仿宋"/>
          <w:b w:val="0"/>
          <w:color w:val="000000" w:themeColor="text1"/>
          <w:kern w:val="2"/>
          <w:sz w:val="28"/>
          <w:highlight w:val="none"/>
          <w14:textFill>
            <w14:solidFill>
              <w14:schemeClr w14:val="tx1"/>
            </w14:solidFill>
          </w14:textFill>
        </w:rPr>
        <w:t xml:space="preserve">： </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供应商名称：</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单位性质：</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地址：</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成立时间：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月</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日</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经营期限：</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姓名：</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；性别:</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；年龄：</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；职务：</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。系</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（供应商名称）      </w:t>
      </w:r>
      <w:r>
        <w:rPr>
          <w:rFonts w:hint="eastAsia" w:ascii="仿宋" w:hAnsi="仿宋" w:eastAsia="仿宋" w:cs="仿宋"/>
          <w:b w:val="0"/>
          <w:color w:val="000000" w:themeColor="text1"/>
          <w:kern w:val="2"/>
          <w:sz w:val="28"/>
          <w:highlight w:val="none"/>
          <w14:textFill>
            <w14:solidFill>
              <w14:schemeClr w14:val="tx1"/>
            </w14:solidFill>
          </w14:textFill>
        </w:rPr>
        <w:t>□的法定代表人/□负责人。</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特此证明。</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注：本证明书供应商必须提供。此处所述“法定代表人/负责人”，须与供应商的“营业执照”或“事业单位法人证书”上的内容一致。</w:t>
      </w:r>
    </w:p>
    <w:p>
      <w:pPr>
        <w:pStyle w:val="15"/>
        <w:keepNext w:val="0"/>
        <w:keepLines w:val="0"/>
        <w:pageBreakBefore w:val="0"/>
        <w:widowControl w:val="0"/>
        <w:shd w:val="clear"/>
        <w:kinsoku/>
        <w:wordWrap/>
        <w:overflowPunct/>
        <w:topLinePunct w:val="0"/>
        <w:autoSpaceDE/>
        <w:autoSpaceDN/>
        <w:bidi w:val="0"/>
        <w:adjustRightInd w:val="0"/>
        <w:snapToGrid w:val="0"/>
        <w:spacing w:beforeLines="0" w:beforeAutospacing="0" w:afterLines="0" w:afterAutospacing="0" w:line="240" w:lineRule="auto"/>
        <w:ind w:firstLine="560"/>
        <w:jc w:val="right"/>
        <w:textAlignment w:val="auto"/>
        <w:rPr>
          <w:rFonts w:hint="eastAsia" w:ascii="仿宋" w:hAnsi="仿宋" w:eastAsia="仿宋" w:cs="仿宋"/>
          <w:color w:val="000000" w:themeColor="text1"/>
          <w:kern w:val="2"/>
          <w:sz w:val="28"/>
          <w:highlight w:val="none"/>
          <w14:textFill>
            <w14:solidFill>
              <w14:schemeClr w14:val="tx1"/>
            </w14:solidFill>
          </w14:textFill>
        </w:rPr>
      </w:pPr>
      <w:r>
        <w:rPr>
          <w:rFonts w:hint="eastAsia" w:ascii="仿宋" w:hAnsi="仿宋" w:eastAsia="仿宋" w:cs="仿宋"/>
          <w:color w:val="000000" w:themeColor="text1"/>
          <w:kern w:val="2"/>
          <w:sz w:val="28"/>
          <w:highlight w:val="none"/>
          <w14:textFill>
            <w14:solidFill>
              <w14:schemeClr w14:val="tx1"/>
            </w14:solidFill>
          </w14:textFill>
        </w:rPr>
        <w:t>供应商：</w:t>
      </w:r>
      <w:r>
        <w:rPr>
          <w:rFonts w:hint="eastAsia" w:ascii="仿宋" w:hAnsi="仿宋" w:eastAsia="仿宋" w:cs="仿宋"/>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color w:val="000000" w:themeColor="text1"/>
          <w:kern w:val="2"/>
          <w:sz w:val="28"/>
          <w:highlight w:val="none"/>
          <w14:textFill>
            <w14:solidFill>
              <w14:schemeClr w14:val="tx1"/>
            </w14:solidFill>
          </w14:textFill>
        </w:rPr>
        <w:t>（单位公章）</w:t>
      </w:r>
    </w:p>
    <w:p>
      <w:pPr>
        <w:pStyle w:val="15"/>
        <w:keepNext w:val="0"/>
        <w:keepLines w:val="0"/>
        <w:pageBreakBefore w:val="0"/>
        <w:widowControl w:val="0"/>
        <w:shd w:val="clear"/>
        <w:kinsoku/>
        <w:wordWrap/>
        <w:overflowPunct/>
        <w:topLinePunct w:val="0"/>
        <w:autoSpaceDE/>
        <w:autoSpaceDN/>
        <w:bidi w:val="0"/>
        <w:adjustRightInd w:val="0"/>
        <w:snapToGrid w:val="0"/>
        <w:spacing w:beforeLines="0" w:beforeAutospacing="0" w:afterLines="0" w:afterAutospacing="0" w:line="240" w:lineRule="auto"/>
        <w:ind w:firstLine="560"/>
        <w:jc w:val="right"/>
        <w:textAlignment w:val="auto"/>
        <w:rPr>
          <w:rFonts w:hint="eastAsia" w:ascii="仿宋" w:hAnsi="仿宋" w:eastAsia="仿宋" w:cs="仿宋"/>
          <w:color w:val="000000" w:themeColor="text1"/>
          <w:kern w:val="2"/>
          <w:sz w:val="28"/>
          <w:highlight w:val="none"/>
          <w14:textFill>
            <w14:solidFill>
              <w14:schemeClr w14:val="tx1"/>
            </w14:solidFill>
          </w14:textFill>
        </w:rPr>
      </w:pPr>
      <w:r>
        <w:rPr>
          <w:rFonts w:hint="eastAsia" w:ascii="仿宋" w:hAnsi="仿宋" w:eastAsia="仿宋" w:cs="仿宋"/>
          <w:color w:val="000000" w:themeColor="text1"/>
          <w:kern w:val="2"/>
          <w:sz w:val="28"/>
          <w:highlight w:val="none"/>
          <w14:textFill>
            <w14:solidFill>
              <w14:schemeClr w14:val="tx1"/>
            </w14:solidFill>
          </w14:textFill>
        </w:rPr>
        <w:t>法定代表人或负责人：</w:t>
      </w:r>
      <w:r>
        <w:rPr>
          <w:rFonts w:hint="eastAsia" w:ascii="仿宋" w:hAnsi="仿宋" w:eastAsia="仿宋" w:cs="仿宋"/>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color w:val="000000" w:themeColor="text1"/>
          <w:kern w:val="2"/>
          <w:sz w:val="28"/>
          <w:highlight w:val="none"/>
          <w14:textFill>
            <w14:solidFill>
              <w14:schemeClr w14:val="tx1"/>
            </w14:solidFill>
          </w14:textFill>
        </w:rPr>
        <w:t>（签字或盖章）</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jc w:val="right"/>
        <w:textAlignment w:val="auto"/>
        <w:rPr>
          <w:rFonts w:hint="eastAsia" w:ascii="仿宋" w:hAnsi="仿宋" w:eastAsia="仿宋" w:cs="仿宋"/>
          <w:b w:val="0"/>
          <w:color w:val="000000" w:themeColor="text1"/>
          <w:kern w:val="2"/>
          <w:sz w:val="32"/>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日期:</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月</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日</w:t>
      </w:r>
    </w:p>
    <w:p>
      <w:pPr>
        <w:pStyle w:val="14"/>
        <w:numPr>
          <w:ilvl w:val="0"/>
          <w:numId w:val="0"/>
        </w:numPr>
        <w:spacing w:line="240" w:lineRule="auto"/>
        <w:ind w:left="0" w:leftChars="0" w:firstLine="0" w:firstLineChars="0"/>
        <w:outlineLvl w:val="9"/>
        <w:rPr>
          <w:rFonts w:hint="default" w:ascii="黑体" w:hAnsi="黑体" w:eastAsia="黑体" w:cs="黑体"/>
          <w:color w:val="auto"/>
          <w:kern w:val="0"/>
          <w:sz w:val="32"/>
          <w:szCs w:val="32"/>
          <w:lang w:val="en-US" w:eastAsia="zh-CN" w:bidi="ar"/>
        </w:rPr>
      </w:pPr>
    </w:p>
    <w:p>
      <w:pPr>
        <w:rPr>
          <w:rFonts w:hint="eastAsia" w:ascii="黑体" w:hAnsi="黑体" w:eastAsia="黑体" w:cs="黑体"/>
          <w:color w:val="auto"/>
          <w:kern w:val="0"/>
          <w:sz w:val="32"/>
          <w:szCs w:val="32"/>
          <w:lang w:val="en-US" w:eastAsia="zh-CN" w:bidi="ar"/>
        </w:rPr>
      </w:pPr>
      <w:r>
        <w:rPr>
          <w:rFonts w:hint="eastAsia" w:ascii="仿宋" w:hAnsi="仿宋" w:eastAsia="仿宋" w:cs="仿宋"/>
          <w:color w:val="000000" w:themeColor="text1"/>
          <w:sz w:val="32"/>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2904490</wp:posOffset>
                </wp:positionH>
                <wp:positionV relativeFrom="paragraph">
                  <wp:posOffset>631825</wp:posOffset>
                </wp:positionV>
                <wp:extent cx="2333625" cy="1584325"/>
                <wp:effectExtent l="4445" t="4445" r="5080" b="11430"/>
                <wp:wrapNone/>
                <wp:docPr id="6" name="流程图: 可选过程 1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beforeLines="0" w:afterLines="0"/>
                              <w:ind w:left="0" w:leftChars="0" w:firstLine="0" w:firstLineChars="0"/>
                              <w:jc w:val="center"/>
                              <w:rPr>
                                <w:rFonts w:hint="eastAsia" w:ascii="宋体" w:hAnsi="宋体"/>
                                <w:sz w:val="28"/>
                              </w:rPr>
                            </w:pPr>
                            <w:r>
                              <w:rPr>
                                <w:rFonts w:hint="eastAsia" w:ascii="宋体" w:hAnsi="宋体"/>
                                <w:sz w:val="28"/>
                              </w:rPr>
                              <w:t>法定代表人/负责人</w:t>
                            </w:r>
                          </w:p>
                          <w:p>
                            <w:pPr>
                              <w:spacing w:beforeLines="0" w:afterLines="0"/>
                              <w:ind w:left="0" w:leftChars="0" w:firstLine="0" w:firstLineChars="0"/>
                              <w:jc w:val="center"/>
                              <w:rPr>
                                <w:rFonts w:hint="default" w:ascii="宋体" w:hAnsi="宋体"/>
                                <w:sz w:val="28"/>
                              </w:rPr>
                            </w:pPr>
                            <w:r>
                              <w:rPr>
                                <w:rFonts w:hint="eastAsia" w:ascii="宋体" w:hAnsi="宋体"/>
                                <w:sz w:val="28"/>
                              </w:rPr>
                              <w:t>身份证复印件</w:t>
                            </w:r>
                          </w:p>
                          <w:p>
                            <w:pPr>
                              <w:spacing w:beforeLines="0" w:afterLines="0"/>
                              <w:ind w:left="0" w:leftChars="0" w:firstLine="0" w:firstLineChars="0"/>
                              <w:jc w:val="center"/>
                              <w:rPr>
                                <w:rFonts w:hint="default"/>
                                <w:sz w:val="28"/>
                              </w:rPr>
                            </w:pPr>
                            <w:r>
                              <w:rPr>
                                <w:rFonts w:hint="eastAsia" w:ascii="宋体" w:hAnsi="宋体"/>
                                <w:sz w:val="28"/>
                              </w:rPr>
                              <w:t>（反面）</w:t>
                            </w:r>
                          </w:p>
                          <w:p>
                            <w:pPr>
                              <w:spacing w:beforeLines="0" w:afterLines="0"/>
                              <w:ind w:firstLine="560"/>
                              <w:jc w:val="center"/>
                              <w:rPr>
                                <w:rFonts w:hint="default"/>
                                <w:sz w:val="28"/>
                              </w:rPr>
                            </w:pPr>
                          </w:p>
                        </w:txbxContent>
                      </wps:txbx>
                      <wps:bodyPr vert="horz" wrap="square" anchor="t" upright="1"/>
                    </wps:wsp>
                  </a:graphicData>
                </a:graphic>
              </wp:anchor>
            </w:drawing>
          </mc:Choice>
          <mc:Fallback>
            <w:pict>
              <v:shape id="流程图: 可选过程 12" o:spid="_x0000_s1026" o:spt="176" type="#_x0000_t176" style="position:absolute;left:0pt;margin-left:228.7pt;margin-top:49.75pt;height:124.75pt;width:183.75pt;z-index:251661312;mso-width-relative:page;mso-height-relative:page;" fillcolor="#FFFFFF" filled="t" stroked="t" coordsize="21600,21600" o:gfxdata="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7lGVe9oAAAAKAQAADwAAAAAAAAABACAAAAAi&#10;AAAAZHJzL2Rvd25yZXYueG1sUEsBAhQAFAAAAAgAh07iQK8LJuZBAgAAdgQAAA4AAAAAAAAAAQAg&#10;AAAAKQEAAGRycy9lMm9Eb2MueG1sUEsFBgAAAAAGAAYAWQEAANwFAAAAAA==&#10;">
                <v:fill on="t" focussize="0,0"/>
                <v:stroke color="#000000" joinstyle="miter"/>
                <v:imagedata o:title=""/>
                <o:lock v:ext="edit" aspectratio="f"/>
                <v:textbox>
                  <w:txbxContent>
                    <w:p>
                      <w:pPr>
                        <w:spacing w:beforeLines="0" w:afterLines="0"/>
                        <w:ind w:left="0" w:leftChars="0" w:firstLine="0" w:firstLineChars="0"/>
                        <w:jc w:val="center"/>
                        <w:rPr>
                          <w:rFonts w:hint="eastAsia" w:ascii="宋体" w:hAnsi="宋体"/>
                          <w:sz w:val="28"/>
                        </w:rPr>
                      </w:pPr>
                      <w:r>
                        <w:rPr>
                          <w:rFonts w:hint="eastAsia" w:ascii="宋体" w:hAnsi="宋体"/>
                          <w:sz w:val="28"/>
                        </w:rPr>
                        <w:t>法定代表人/负责人</w:t>
                      </w:r>
                    </w:p>
                    <w:p>
                      <w:pPr>
                        <w:spacing w:beforeLines="0" w:afterLines="0"/>
                        <w:ind w:left="0" w:leftChars="0" w:firstLine="0" w:firstLineChars="0"/>
                        <w:jc w:val="center"/>
                        <w:rPr>
                          <w:rFonts w:hint="default" w:ascii="宋体" w:hAnsi="宋体"/>
                          <w:sz w:val="28"/>
                        </w:rPr>
                      </w:pPr>
                      <w:r>
                        <w:rPr>
                          <w:rFonts w:hint="eastAsia" w:ascii="宋体" w:hAnsi="宋体"/>
                          <w:sz w:val="28"/>
                        </w:rPr>
                        <w:t>身份证复印件</w:t>
                      </w:r>
                    </w:p>
                    <w:p>
                      <w:pPr>
                        <w:spacing w:beforeLines="0" w:afterLines="0"/>
                        <w:ind w:left="0" w:leftChars="0" w:firstLine="0" w:firstLineChars="0"/>
                        <w:jc w:val="center"/>
                        <w:rPr>
                          <w:rFonts w:hint="default"/>
                          <w:sz w:val="28"/>
                        </w:rPr>
                      </w:pPr>
                      <w:r>
                        <w:rPr>
                          <w:rFonts w:hint="eastAsia" w:ascii="宋体" w:hAnsi="宋体"/>
                          <w:sz w:val="28"/>
                        </w:rPr>
                        <w:t>（反面）</w:t>
                      </w:r>
                    </w:p>
                    <w:p>
                      <w:pPr>
                        <w:spacing w:beforeLines="0" w:afterLines="0"/>
                        <w:ind w:firstLine="560"/>
                        <w:jc w:val="center"/>
                        <w:rPr>
                          <w:rFonts w:hint="default"/>
                          <w:sz w:val="28"/>
                        </w:rPr>
                      </w:pPr>
                    </w:p>
                  </w:txbxContent>
                </v:textbox>
              </v:shape>
            </w:pict>
          </mc:Fallback>
        </mc:AlternateContent>
      </w:r>
      <w:r>
        <w:rPr>
          <w:rFonts w:hint="eastAsia" w:ascii="仿宋" w:hAnsi="仿宋" w:eastAsia="仿宋" w:cs="仿宋"/>
          <w:color w:val="000000" w:themeColor="text1"/>
          <w:sz w:val="32"/>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-43815</wp:posOffset>
                </wp:positionH>
                <wp:positionV relativeFrom="paragraph">
                  <wp:posOffset>625475</wp:posOffset>
                </wp:positionV>
                <wp:extent cx="2333625" cy="1584325"/>
                <wp:effectExtent l="4445" t="4445" r="5080" b="11430"/>
                <wp:wrapNone/>
                <wp:docPr id="4" name="流程图: 可选过程 1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beforeLines="0" w:afterLines="0"/>
                              <w:ind w:left="0" w:leftChars="0" w:firstLine="0" w:firstLineChars="0"/>
                              <w:jc w:val="center"/>
                              <w:rPr>
                                <w:rFonts w:hint="eastAsia" w:ascii="宋体" w:hAnsi="宋体"/>
                                <w:sz w:val="28"/>
                              </w:rPr>
                            </w:pPr>
                            <w:r>
                              <w:rPr>
                                <w:rFonts w:hint="eastAsia" w:ascii="宋体" w:hAnsi="宋体"/>
                                <w:sz w:val="28"/>
                              </w:rPr>
                              <w:t>法定代表人/负责人</w:t>
                            </w:r>
                          </w:p>
                          <w:p>
                            <w:pPr>
                              <w:spacing w:beforeLines="0" w:afterLines="0"/>
                              <w:ind w:left="0" w:leftChars="0" w:firstLine="0" w:firstLineChars="0"/>
                              <w:jc w:val="center"/>
                              <w:rPr>
                                <w:rFonts w:hint="default" w:ascii="宋体" w:hAnsi="宋体"/>
                                <w:sz w:val="28"/>
                              </w:rPr>
                            </w:pPr>
                            <w:r>
                              <w:rPr>
                                <w:rFonts w:hint="eastAsia" w:ascii="宋体" w:hAnsi="宋体"/>
                                <w:sz w:val="28"/>
                              </w:rPr>
                              <w:t>身份证复印件</w:t>
                            </w:r>
                          </w:p>
                          <w:p>
                            <w:pPr>
                              <w:spacing w:beforeLines="0" w:afterLines="0"/>
                              <w:ind w:left="0" w:leftChars="0" w:firstLine="0" w:firstLineChars="0"/>
                              <w:jc w:val="center"/>
                              <w:rPr>
                                <w:rFonts w:hint="default"/>
                                <w:sz w:val="28"/>
                              </w:rPr>
                            </w:pPr>
                            <w:r>
                              <w:rPr>
                                <w:rFonts w:hint="eastAsia" w:ascii="宋体" w:hAnsi="宋体"/>
                                <w:sz w:val="28"/>
                              </w:rPr>
                              <w:t>（正面）</w:t>
                            </w:r>
                          </w:p>
                          <w:p>
                            <w:pPr>
                              <w:spacing w:beforeLines="0" w:afterLines="0"/>
                              <w:ind w:firstLine="560"/>
                              <w:jc w:val="center"/>
                              <w:rPr>
                                <w:rFonts w:hint="default"/>
                                <w:sz w:val="28"/>
                              </w:rPr>
                            </w:pPr>
                          </w:p>
                        </w:txbxContent>
                      </wps:txbx>
                      <wps:bodyPr vert="horz" wrap="square" anchor="t" upright="1"/>
                    </wps:wsp>
                  </a:graphicData>
                </a:graphic>
              </wp:anchor>
            </w:drawing>
          </mc:Choice>
          <mc:Fallback>
            <w:pict>
              <v:shape id="流程图: 可选过程 11" o:spid="_x0000_s1026" o:spt="176" type="#_x0000_t176" style="position:absolute;left:0pt;margin-left:-3.45pt;margin-top:49.25pt;height:124.75pt;width:183.75pt;z-index:251660288;mso-width-relative:page;mso-height-relative:page;" fillcolor="#FFFFFF" filled="t" stroked="t" coordsize="21600,21600" o:gfxdata="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ulPm82AAAAAkBAAAPAAAAAAAAAAEAIAAAACIA&#10;AABkcnMvZG93bnJldi54bWxQSwECFAAUAAAACACHTuJA75dHQUICAAB2BAAADgAAAAAAAAABACAA&#10;AAAnAQAAZHJzL2Uyb0RvYy54bWxQSwUGAAAAAAYABgBZAQAA2wUAAAAA&#10;">
                <v:fill on="t" focussize="0,0"/>
                <v:stroke color="#000000" joinstyle="miter"/>
                <v:imagedata o:title=""/>
                <o:lock v:ext="edit" aspectratio="f"/>
                <v:textbox>
                  <w:txbxContent>
                    <w:p>
                      <w:pPr>
                        <w:spacing w:beforeLines="0" w:afterLines="0"/>
                        <w:ind w:left="0" w:leftChars="0" w:firstLine="0" w:firstLineChars="0"/>
                        <w:jc w:val="center"/>
                        <w:rPr>
                          <w:rFonts w:hint="eastAsia" w:ascii="宋体" w:hAnsi="宋体"/>
                          <w:sz w:val="28"/>
                        </w:rPr>
                      </w:pPr>
                      <w:r>
                        <w:rPr>
                          <w:rFonts w:hint="eastAsia" w:ascii="宋体" w:hAnsi="宋体"/>
                          <w:sz w:val="28"/>
                        </w:rPr>
                        <w:t>法定代表人/负责人</w:t>
                      </w:r>
                    </w:p>
                    <w:p>
                      <w:pPr>
                        <w:spacing w:beforeLines="0" w:afterLines="0"/>
                        <w:ind w:left="0" w:leftChars="0" w:firstLine="0" w:firstLineChars="0"/>
                        <w:jc w:val="center"/>
                        <w:rPr>
                          <w:rFonts w:hint="default" w:ascii="宋体" w:hAnsi="宋体"/>
                          <w:sz w:val="28"/>
                        </w:rPr>
                      </w:pPr>
                      <w:r>
                        <w:rPr>
                          <w:rFonts w:hint="eastAsia" w:ascii="宋体" w:hAnsi="宋体"/>
                          <w:sz w:val="28"/>
                        </w:rPr>
                        <w:t>身份证复印件</w:t>
                      </w:r>
                    </w:p>
                    <w:p>
                      <w:pPr>
                        <w:spacing w:beforeLines="0" w:afterLines="0"/>
                        <w:ind w:left="0" w:leftChars="0" w:firstLine="0" w:firstLineChars="0"/>
                        <w:jc w:val="center"/>
                        <w:rPr>
                          <w:rFonts w:hint="default"/>
                          <w:sz w:val="28"/>
                        </w:rPr>
                      </w:pPr>
                      <w:r>
                        <w:rPr>
                          <w:rFonts w:hint="eastAsia" w:ascii="宋体" w:hAnsi="宋体"/>
                          <w:sz w:val="28"/>
                        </w:rPr>
                        <w:t>（正面）</w:t>
                      </w:r>
                    </w:p>
                    <w:p>
                      <w:pPr>
                        <w:spacing w:beforeLines="0" w:afterLines="0"/>
                        <w:ind w:firstLine="560"/>
                        <w:jc w:val="center"/>
                        <w:rPr>
                          <w:rFonts w:hint="default"/>
                          <w:sz w:val="28"/>
                        </w:rPr>
                      </w:pPr>
                    </w:p>
                  </w:txbxContent>
                </v:textbox>
              </v:shape>
            </w:pict>
          </mc:Fallback>
        </mc:AlternateContent>
      </w:r>
      <w:r>
        <w:rPr>
          <w:rFonts w:hint="eastAsia" w:ascii="黑体" w:hAnsi="黑体" w:eastAsia="黑体" w:cs="黑体"/>
          <w:color w:val="auto"/>
          <w:kern w:val="0"/>
          <w:sz w:val="32"/>
          <w:szCs w:val="32"/>
          <w:lang w:val="en-US" w:eastAsia="zh-CN" w:bidi="ar"/>
        </w:rPr>
        <w:br w:type="page"/>
      </w:r>
    </w:p>
    <w:p>
      <w:pPr>
        <w:pStyle w:val="5"/>
        <w:shd w:val="clear"/>
        <w:spacing w:beforeLines="0" w:afterLines="0" w:line="560" w:lineRule="exact"/>
        <w:ind w:firstLine="0" w:firstLineChars="0"/>
        <w:jc w:val="center"/>
        <w:rPr>
          <w:rFonts w:hint="eastAsia" w:ascii="仿宋" w:hAnsi="仿宋" w:eastAsia="仿宋" w:cs="仿宋"/>
          <w:b/>
          <w:color w:val="000000" w:themeColor="text1"/>
          <w:sz w:val="28"/>
          <w:highlight w:val="none"/>
          <w14:textFill>
            <w14:solidFill>
              <w14:schemeClr w14:val="tx1"/>
            </w14:solidFill>
          </w14:textFill>
        </w:rPr>
      </w:pPr>
      <w:r>
        <w:rPr>
          <w:rFonts w:hint="eastAsia" w:ascii="仿宋" w:hAnsi="仿宋" w:eastAsia="仿宋" w:cs="仿宋"/>
          <w:b/>
          <w:color w:val="000000" w:themeColor="text1"/>
          <w:sz w:val="28"/>
          <w:highlight w:val="none"/>
          <w14:textFill>
            <w14:solidFill>
              <w14:schemeClr w14:val="tx1"/>
            </w14:solidFill>
          </w14:textFill>
        </w:rPr>
        <w:t>2.2授权委托书格式</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720" w:firstLineChars="200"/>
        <w:jc w:val="center"/>
        <w:textAlignment w:val="auto"/>
        <w:rPr>
          <w:rFonts w:hint="eastAsia" w:ascii="仿宋" w:hAnsi="仿宋" w:eastAsia="仿宋" w:cs="仿宋"/>
          <w:b w:val="0"/>
          <w:color w:val="000000" w:themeColor="text1"/>
          <w:kern w:val="2"/>
          <w:sz w:val="36"/>
          <w:highlight w:val="none"/>
          <w14:textFill>
            <w14:solidFill>
              <w14:schemeClr w14:val="tx1"/>
            </w14:solidFill>
          </w14:textFill>
        </w:rPr>
      </w:pPr>
      <w:r>
        <w:rPr>
          <w:rFonts w:hint="eastAsia" w:ascii="仿宋" w:hAnsi="仿宋" w:eastAsia="仿宋" w:cs="仿宋"/>
          <w:b w:val="0"/>
          <w:color w:val="000000" w:themeColor="text1"/>
          <w:kern w:val="2"/>
          <w:sz w:val="36"/>
          <w:highlight w:val="none"/>
          <w14:textFill>
            <w14:solidFill>
              <w14:schemeClr w14:val="tx1"/>
            </w14:solidFill>
          </w14:textFill>
        </w:rPr>
        <w:t>授权委托书</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640" w:firstLineChars="200"/>
        <w:jc w:val="left"/>
        <w:textAlignment w:val="auto"/>
        <w:rPr>
          <w:rFonts w:hint="eastAsia" w:ascii="仿宋" w:hAnsi="仿宋" w:eastAsia="仿宋" w:cs="仿宋"/>
          <w:b w:val="0"/>
          <w:color w:val="000000" w:themeColor="text1"/>
          <w:kern w:val="2"/>
          <w:sz w:val="32"/>
          <w:highlight w:val="none"/>
          <w14:textFill>
            <w14:solidFill>
              <w14:schemeClr w14:val="tx1"/>
            </w14:solidFill>
          </w14:textFill>
        </w:rPr>
      </w:pP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 xml:space="preserve">本人 </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（姓名）    </w:t>
      </w:r>
      <w:r>
        <w:rPr>
          <w:rFonts w:hint="eastAsia" w:ascii="仿宋" w:hAnsi="仿宋" w:eastAsia="仿宋" w:cs="仿宋"/>
          <w:b w:val="0"/>
          <w:color w:val="000000" w:themeColor="text1"/>
          <w:kern w:val="2"/>
          <w:sz w:val="28"/>
          <w:highlight w:val="none"/>
          <w14:textFill>
            <w14:solidFill>
              <w14:schemeClr w14:val="tx1"/>
            </w14:solidFill>
          </w14:textFill>
        </w:rPr>
        <w:t>系</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（供应商名称）    </w:t>
      </w:r>
      <w:r>
        <w:rPr>
          <w:rFonts w:hint="eastAsia" w:ascii="仿宋" w:hAnsi="仿宋" w:eastAsia="仿宋" w:cs="仿宋"/>
          <w:b w:val="0"/>
          <w:color w:val="000000" w:themeColor="text1"/>
          <w:kern w:val="2"/>
          <w:sz w:val="28"/>
          <w:highlight w:val="none"/>
          <w14:textFill>
            <w14:solidFill>
              <w14:schemeClr w14:val="tx1"/>
            </w14:solidFill>
          </w14:textFill>
        </w:rPr>
        <w:t>的法定代表人，现授权</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（姓名）    </w:t>
      </w:r>
      <w:r>
        <w:rPr>
          <w:rFonts w:hint="eastAsia" w:ascii="仿宋" w:hAnsi="仿宋" w:eastAsia="仿宋" w:cs="仿宋"/>
          <w:b w:val="0"/>
          <w:color w:val="000000" w:themeColor="text1"/>
          <w:kern w:val="2"/>
          <w:sz w:val="28"/>
          <w:highlight w:val="none"/>
          <w14:textFill>
            <w14:solidFill>
              <w14:schemeClr w14:val="tx1"/>
            </w14:solidFill>
          </w14:textFill>
        </w:rPr>
        <w:t>为我方代理人。代理人根据授权，以我方名义签署、澄清、说明、提交、撤回、修改（</w:t>
      </w:r>
      <w:r>
        <w:rPr>
          <w:rFonts w:hint="eastAsia" w:ascii="仿宋" w:hAnsi="仿宋" w:eastAsia="仿宋" w:cs="仿宋"/>
          <w:b w:val="0"/>
          <w:color w:val="000000" w:themeColor="text1"/>
          <w:kern w:val="2"/>
          <w:sz w:val="28"/>
          <w:highlight w:val="none"/>
          <w:u w:val="single"/>
          <w14:textFill>
            <w14:solidFill>
              <w14:schemeClr w14:val="tx1"/>
            </w14:solidFill>
          </w14:textFill>
        </w:rPr>
        <w:t>项目名称、项目编号、标段/标包号</w:t>
      </w:r>
      <w:r>
        <w:rPr>
          <w:rFonts w:hint="eastAsia" w:ascii="仿宋" w:hAnsi="仿宋" w:eastAsia="仿宋" w:cs="仿宋"/>
          <w:b w:val="0"/>
          <w:color w:val="000000" w:themeColor="text1"/>
          <w:kern w:val="2"/>
          <w:sz w:val="28"/>
          <w:highlight w:val="none"/>
          <w14:textFill>
            <w14:solidFill>
              <w14:schemeClr w14:val="tx1"/>
            </w14:solidFill>
          </w14:textFill>
        </w:rPr>
        <w:t>）的响应文件、签订合同和处理有关事宜，其法律后果由我方承担。</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本授权书于</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月</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日至</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年</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月</w:t>
      </w:r>
      <w:r>
        <w:rPr>
          <w:rFonts w:hint="eastAsia" w:ascii="仿宋" w:hAnsi="仿宋" w:eastAsia="仿宋" w:cs="仿宋"/>
          <w:b w:val="0"/>
          <w:color w:val="000000" w:themeColor="text1"/>
          <w:kern w:val="2"/>
          <w:sz w:val="28"/>
          <w:highlight w:val="none"/>
          <w:u w:val="single"/>
          <w14:textFill>
            <w14:solidFill>
              <w14:schemeClr w14:val="tx1"/>
            </w14:solidFill>
          </w14:textFill>
        </w:rPr>
        <w:t xml:space="preserve">  </w:t>
      </w:r>
      <w:r>
        <w:rPr>
          <w:rFonts w:hint="eastAsia" w:ascii="仿宋" w:hAnsi="仿宋" w:eastAsia="仿宋" w:cs="仿宋"/>
          <w:b w:val="0"/>
          <w:color w:val="000000" w:themeColor="text1"/>
          <w:kern w:val="2"/>
          <w:sz w:val="28"/>
          <w:highlight w:val="none"/>
          <w14:textFill>
            <w14:solidFill>
              <w14:schemeClr w14:val="tx1"/>
            </w14:solidFill>
          </w14:textFill>
        </w:rPr>
        <w:t>日有效，代理人无转委托权。</w:t>
      </w:r>
    </w:p>
    <w:p>
      <w:pPr>
        <w:pStyle w:val="9"/>
        <w:keepNext w:val="0"/>
        <w:keepLines w:val="0"/>
        <w:pageBreakBefore w:val="0"/>
        <w:widowControl w:val="0"/>
        <w:shd w:val="clear"/>
        <w:kinsoku/>
        <w:wordWrap/>
        <w:overflowPunct/>
        <w:topLinePunct w:val="0"/>
        <w:autoSpaceDE/>
        <w:autoSpaceDN/>
        <w:bidi w:val="0"/>
        <w:adjustRightInd w:val="0"/>
        <w:snapToGrid w:val="0"/>
        <w:spacing w:beforeLines="0" w:afterLines="0" w:line="240" w:lineRule="auto"/>
        <w:ind w:firstLine="560" w:firstLineChars="200"/>
        <w:jc w:val="left"/>
        <w:textAlignment w:val="auto"/>
        <w:rPr>
          <w:rFonts w:hint="eastAsia" w:ascii="仿宋" w:hAnsi="仿宋" w:eastAsia="仿宋" w:cs="仿宋"/>
          <w:b w:val="0"/>
          <w:color w:val="000000" w:themeColor="text1"/>
          <w:kern w:val="2"/>
          <w:sz w:val="28"/>
          <w:highlight w:val="none"/>
          <w14:textFill>
            <w14:solidFill>
              <w14:schemeClr w14:val="tx1"/>
            </w14:solidFill>
          </w14:textFill>
        </w:rPr>
      </w:pPr>
      <w:r>
        <w:rPr>
          <w:rFonts w:hint="eastAsia" w:ascii="仿宋" w:hAnsi="仿宋" w:eastAsia="仿宋" w:cs="仿宋"/>
          <w:b w:val="0"/>
          <w:color w:val="000000" w:themeColor="text1"/>
          <w:kern w:val="2"/>
          <w:sz w:val="28"/>
          <w:highlight w:val="none"/>
          <w14:textFill>
            <w14:solidFill>
              <w14:schemeClr w14:val="tx1"/>
            </w14:solidFill>
          </w14:textFill>
        </w:rPr>
        <w:t>特此声明。</w:t>
      </w:r>
    </w:p>
    <w:p>
      <w:pPr>
        <w:shd w:val="clear"/>
        <w:spacing w:beforeLines="0" w:afterLines="0" w:line="560" w:lineRule="exact"/>
        <w:ind w:firstLine="560"/>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2819400</wp:posOffset>
                </wp:positionH>
                <wp:positionV relativeFrom="paragraph">
                  <wp:posOffset>256540</wp:posOffset>
                </wp:positionV>
                <wp:extent cx="2333625" cy="1584325"/>
                <wp:effectExtent l="4445" t="4445" r="5080" b="11430"/>
                <wp:wrapNone/>
                <wp:docPr id="2" name="流程图: 可选过程 1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beforeLines="0" w:afterLines="0"/>
                              <w:ind w:firstLine="0" w:firstLineChars="0"/>
                              <w:jc w:val="center"/>
                              <w:rPr>
                                <w:rFonts w:hint="eastAsia" w:ascii="宋体" w:hAnsi="宋体"/>
                                <w:sz w:val="28"/>
                              </w:rPr>
                            </w:pPr>
                          </w:p>
                          <w:p>
                            <w:pPr>
                              <w:spacing w:beforeLines="0" w:afterLines="0"/>
                              <w:ind w:firstLine="0" w:firstLineChars="0"/>
                              <w:jc w:val="center"/>
                              <w:rPr>
                                <w:rFonts w:hint="default" w:ascii="宋体" w:hAnsi="宋体"/>
                                <w:sz w:val="28"/>
                              </w:rPr>
                            </w:pPr>
                            <w:r>
                              <w:rPr>
                                <w:rFonts w:hint="eastAsia" w:ascii="宋体" w:hAnsi="宋体"/>
                                <w:sz w:val="28"/>
                              </w:rPr>
                              <w:t>代理人身份证复印件</w:t>
                            </w:r>
                          </w:p>
                          <w:p>
                            <w:pPr>
                              <w:spacing w:beforeLines="0" w:afterLines="0"/>
                              <w:ind w:firstLine="560"/>
                              <w:jc w:val="both"/>
                              <w:rPr>
                                <w:rFonts w:hint="default"/>
                                <w:sz w:val="28"/>
                              </w:rPr>
                            </w:pPr>
                            <w:r>
                              <w:rPr>
                                <w:rFonts w:hint="eastAsia" w:ascii="宋体" w:hAnsi="宋体"/>
                                <w:sz w:val="28"/>
                              </w:rPr>
                              <w:t>（反面）</w:t>
                            </w:r>
                          </w:p>
                          <w:p>
                            <w:pPr>
                              <w:spacing w:beforeLines="0" w:afterLines="0"/>
                              <w:ind w:firstLine="560"/>
                              <w:jc w:val="center"/>
                              <w:rPr>
                                <w:rFonts w:hint="default"/>
                                <w:sz w:val="28"/>
                              </w:rPr>
                            </w:pPr>
                          </w:p>
                        </w:txbxContent>
                      </wps:txbx>
                      <wps:bodyPr vert="horz" wrap="square" anchor="t" upright="1"/>
                    </wps:wsp>
                  </a:graphicData>
                </a:graphic>
              </wp:anchor>
            </w:drawing>
          </mc:Choice>
          <mc:Fallback>
            <w:pict>
              <v:shape id="流程图: 可选过程 13" o:spid="_x0000_s1026" o:spt="176" type="#_x0000_t176" style="position:absolute;left:0pt;margin-left:222pt;margin-top:20.2pt;height:124.75pt;width:183.75pt;z-index:251663360;mso-width-relative:page;mso-height-relative:page;" fillcolor="#FFFFFF" filled="t" stroked="t" coordsize="21600,21600" o:gfxdata="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AT7P42QAAAAoBAAAPAAAAAAAAAAEAIAAAACIA&#10;AABkcnMvZG93bnJldi54bWxQSwECFAAUAAAACACHTuJAq5L/30ECAAB2BAAADgAAAAAAAAABACAA&#10;AAAoAQAAZHJzL2Uyb0RvYy54bWxQSwUGAAAAAAYABgBZAQAA2wUAAAAA&#10;">
                <v:fill on="t" focussize="0,0"/>
                <v:stroke color="#000000" joinstyle="miter"/>
                <v:imagedata o:title=""/>
                <o:lock v:ext="edit" aspectratio="f"/>
                <v:textbox>
                  <w:txbxContent>
                    <w:p>
                      <w:pPr>
                        <w:spacing w:beforeLines="0" w:afterLines="0"/>
                        <w:ind w:firstLine="0" w:firstLineChars="0"/>
                        <w:jc w:val="center"/>
                        <w:rPr>
                          <w:rFonts w:hint="eastAsia" w:ascii="宋体" w:hAnsi="宋体"/>
                          <w:sz w:val="28"/>
                        </w:rPr>
                      </w:pPr>
                    </w:p>
                    <w:p>
                      <w:pPr>
                        <w:spacing w:beforeLines="0" w:afterLines="0"/>
                        <w:ind w:firstLine="0" w:firstLineChars="0"/>
                        <w:jc w:val="center"/>
                        <w:rPr>
                          <w:rFonts w:hint="default" w:ascii="宋体" w:hAnsi="宋体"/>
                          <w:sz w:val="28"/>
                        </w:rPr>
                      </w:pPr>
                      <w:r>
                        <w:rPr>
                          <w:rFonts w:hint="eastAsia" w:ascii="宋体" w:hAnsi="宋体"/>
                          <w:sz w:val="28"/>
                        </w:rPr>
                        <w:t>代理人身份证复印件</w:t>
                      </w:r>
                    </w:p>
                    <w:p>
                      <w:pPr>
                        <w:spacing w:beforeLines="0" w:afterLines="0"/>
                        <w:ind w:firstLine="560"/>
                        <w:jc w:val="both"/>
                        <w:rPr>
                          <w:rFonts w:hint="default"/>
                          <w:sz w:val="28"/>
                        </w:rPr>
                      </w:pPr>
                      <w:r>
                        <w:rPr>
                          <w:rFonts w:hint="eastAsia" w:ascii="宋体" w:hAnsi="宋体"/>
                          <w:sz w:val="28"/>
                        </w:rPr>
                        <w:t>（反面）</w:t>
                      </w:r>
                    </w:p>
                    <w:p>
                      <w:pPr>
                        <w:spacing w:beforeLines="0" w:afterLines="0"/>
                        <w:ind w:firstLine="560"/>
                        <w:jc w:val="center"/>
                        <w:rPr>
                          <w:rFonts w:hint="default"/>
                          <w:sz w:val="28"/>
                        </w:rPr>
                      </w:pPr>
                    </w:p>
                  </w:txbxContent>
                </v:textbox>
              </v:shape>
            </w:pict>
          </mc:Fallback>
        </mc:AlternateContent>
      </w:r>
      <w:r>
        <w:rPr>
          <w:rFonts w:hint="eastAsia" w:ascii="仿宋" w:hAnsi="仿宋" w:eastAsia="仿宋" w:cs="仿宋"/>
          <w:color w:val="000000" w:themeColor="text1"/>
          <w:sz w:val="28"/>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134620</wp:posOffset>
                </wp:positionH>
                <wp:positionV relativeFrom="paragraph">
                  <wp:posOffset>240030</wp:posOffset>
                </wp:positionV>
                <wp:extent cx="2333625" cy="1584325"/>
                <wp:effectExtent l="4445" t="4445" r="5080" b="11430"/>
                <wp:wrapNone/>
                <wp:docPr id="5"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spacing w:beforeLines="0" w:afterLines="0"/>
                              <w:ind w:firstLine="0" w:firstLineChars="0"/>
                              <w:jc w:val="center"/>
                              <w:rPr>
                                <w:rFonts w:hint="eastAsia" w:ascii="宋体" w:hAnsi="宋体"/>
                                <w:sz w:val="28"/>
                              </w:rPr>
                            </w:pPr>
                          </w:p>
                          <w:p>
                            <w:pPr>
                              <w:spacing w:beforeLines="0" w:afterLines="0"/>
                              <w:ind w:firstLine="0" w:firstLineChars="0"/>
                              <w:jc w:val="center"/>
                              <w:rPr>
                                <w:rFonts w:hint="default" w:ascii="宋体" w:hAnsi="宋体"/>
                                <w:sz w:val="28"/>
                              </w:rPr>
                            </w:pPr>
                            <w:r>
                              <w:rPr>
                                <w:rFonts w:hint="eastAsia" w:ascii="宋体" w:hAnsi="宋体"/>
                                <w:sz w:val="28"/>
                              </w:rPr>
                              <w:t>代理人身份证复印件</w:t>
                            </w:r>
                          </w:p>
                          <w:p>
                            <w:pPr>
                              <w:spacing w:beforeLines="0" w:afterLines="0"/>
                              <w:ind w:firstLine="1024" w:firstLineChars="366"/>
                              <w:jc w:val="both"/>
                              <w:rPr>
                                <w:rFonts w:hint="default"/>
                                <w:sz w:val="28"/>
                              </w:rPr>
                            </w:pPr>
                            <w:r>
                              <w:rPr>
                                <w:rFonts w:hint="eastAsia" w:ascii="宋体" w:hAnsi="宋体"/>
                                <w:sz w:val="28"/>
                              </w:rPr>
                              <w:t>（正面）</w:t>
                            </w:r>
                          </w:p>
                          <w:p>
                            <w:pPr>
                              <w:spacing w:beforeLines="0" w:afterLines="0"/>
                              <w:ind w:firstLine="560"/>
                              <w:jc w:val="center"/>
                              <w:rPr>
                                <w:rFonts w:hint="default"/>
                                <w:sz w:val="28"/>
                              </w:rPr>
                            </w:pPr>
                          </w:p>
                        </w:txbxContent>
                      </wps:txbx>
                      <wps:bodyPr vert="horz" wrap="square" anchor="t" upright="1"/>
                    </wps:wsp>
                  </a:graphicData>
                </a:graphic>
              </wp:anchor>
            </w:drawing>
          </mc:Choice>
          <mc:Fallback>
            <w:pict>
              <v:shape id="流程图: 可选过程 14" o:spid="_x0000_s1026" o:spt="176" type="#_x0000_t176" style="position:absolute;left:0pt;margin-left:10.6pt;margin-top:18.9pt;height:124.75pt;width:183.75pt;z-index:251662336;mso-width-relative:page;mso-height-relative:page;" fillcolor="#FFFFFF" filled="t" stroked="t" coordsize="21600,21600" o:gfxdata="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fvitTXAAAACQEAAA8AAAAAAAAAAQAgAAAAIgAA&#10;AGRycy9kb3ducmV2LnhtbFBLAQIUABQAAAAIAIdO4kDIrhEFQgIAAHYEAAAOAAAAAAAAAAEAIAAA&#10;ACYBAABkcnMvZTJvRG9jLnhtbFBLBQYAAAAABgAGAFkBAADaBQAAAAA=&#10;">
                <v:fill on="t" focussize="0,0"/>
                <v:stroke color="#000000" joinstyle="miter"/>
                <v:imagedata o:title=""/>
                <o:lock v:ext="edit" aspectratio="f"/>
                <v:textbox>
                  <w:txbxContent>
                    <w:p>
                      <w:pPr>
                        <w:spacing w:beforeLines="0" w:afterLines="0"/>
                        <w:ind w:firstLine="0" w:firstLineChars="0"/>
                        <w:jc w:val="center"/>
                        <w:rPr>
                          <w:rFonts w:hint="eastAsia" w:ascii="宋体" w:hAnsi="宋体"/>
                          <w:sz w:val="28"/>
                        </w:rPr>
                      </w:pPr>
                    </w:p>
                    <w:p>
                      <w:pPr>
                        <w:spacing w:beforeLines="0" w:afterLines="0"/>
                        <w:ind w:firstLine="0" w:firstLineChars="0"/>
                        <w:jc w:val="center"/>
                        <w:rPr>
                          <w:rFonts w:hint="default" w:ascii="宋体" w:hAnsi="宋体"/>
                          <w:sz w:val="28"/>
                        </w:rPr>
                      </w:pPr>
                      <w:r>
                        <w:rPr>
                          <w:rFonts w:hint="eastAsia" w:ascii="宋体" w:hAnsi="宋体"/>
                          <w:sz w:val="28"/>
                        </w:rPr>
                        <w:t>代理人身份证复印件</w:t>
                      </w:r>
                    </w:p>
                    <w:p>
                      <w:pPr>
                        <w:spacing w:beforeLines="0" w:afterLines="0"/>
                        <w:ind w:firstLine="1024" w:firstLineChars="366"/>
                        <w:jc w:val="both"/>
                        <w:rPr>
                          <w:rFonts w:hint="default"/>
                          <w:sz w:val="28"/>
                        </w:rPr>
                      </w:pPr>
                      <w:r>
                        <w:rPr>
                          <w:rFonts w:hint="eastAsia" w:ascii="宋体" w:hAnsi="宋体"/>
                          <w:sz w:val="28"/>
                        </w:rPr>
                        <w:t>（正面）</w:t>
                      </w:r>
                    </w:p>
                    <w:p>
                      <w:pPr>
                        <w:spacing w:beforeLines="0" w:afterLines="0"/>
                        <w:ind w:firstLine="560"/>
                        <w:jc w:val="center"/>
                        <w:rPr>
                          <w:rFonts w:hint="default"/>
                          <w:sz w:val="28"/>
                        </w:rPr>
                      </w:pPr>
                    </w:p>
                  </w:txbxContent>
                </v:textbox>
              </v:shape>
            </w:pict>
          </mc:Fallback>
        </mc:AlternateContent>
      </w:r>
    </w:p>
    <w:p>
      <w:pPr>
        <w:shd w:val="clear"/>
        <w:spacing w:beforeLines="0" w:afterLines="0" w:line="560" w:lineRule="exact"/>
        <w:ind w:firstLine="560"/>
        <w:rPr>
          <w:rFonts w:hint="eastAsia" w:ascii="仿宋" w:hAnsi="仿宋" w:eastAsia="仿宋" w:cs="仿宋"/>
          <w:color w:val="000000" w:themeColor="text1"/>
          <w:sz w:val="28"/>
          <w:highlight w:val="none"/>
          <w14:textFill>
            <w14:solidFill>
              <w14:schemeClr w14:val="tx1"/>
            </w14:solidFill>
          </w14:textFill>
        </w:rPr>
      </w:pPr>
    </w:p>
    <w:p>
      <w:pPr>
        <w:shd w:val="clear"/>
        <w:spacing w:beforeLines="0" w:afterLines="0" w:line="560" w:lineRule="exact"/>
        <w:ind w:firstLine="560"/>
        <w:rPr>
          <w:rFonts w:hint="eastAsia" w:ascii="仿宋" w:hAnsi="仿宋" w:eastAsia="仿宋" w:cs="仿宋"/>
          <w:color w:val="000000" w:themeColor="text1"/>
          <w:sz w:val="28"/>
          <w:highlight w:val="none"/>
          <w14:textFill>
            <w14:solidFill>
              <w14:schemeClr w14:val="tx1"/>
            </w14:solidFill>
          </w14:textFill>
        </w:rPr>
      </w:pPr>
    </w:p>
    <w:p>
      <w:pPr>
        <w:shd w:val="clear"/>
        <w:spacing w:beforeLines="0" w:afterLines="0" w:line="560" w:lineRule="exact"/>
        <w:ind w:firstLine="560"/>
        <w:rPr>
          <w:rFonts w:hint="eastAsia" w:ascii="仿宋" w:hAnsi="仿宋" w:eastAsia="仿宋" w:cs="仿宋"/>
          <w:color w:val="000000" w:themeColor="text1"/>
          <w:sz w:val="28"/>
          <w:highlight w:val="none"/>
          <w14:textFill>
            <w14:solidFill>
              <w14:schemeClr w14:val="tx1"/>
            </w14:solidFill>
          </w14:textFill>
        </w:rPr>
      </w:pPr>
    </w:p>
    <w:p>
      <w:pPr>
        <w:shd w:val="clear"/>
        <w:spacing w:beforeLines="0" w:afterLines="0" w:line="560" w:lineRule="exact"/>
        <w:ind w:firstLine="560"/>
        <w:rPr>
          <w:rFonts w:hint="eastAsia" w:ascii="仿宋" w:hAnsi="仿宋" w:eastAsia="仿宋" w:cs="仿宋"/>
          <w:color w:val="000000" w:themeColor="text1"/>
          <w:sz w:val="28"/>
          <w:highlight w:val="none"/>
          <w14:textFill>
            <w14:solidFill>
              <w14:schemeClr w14:val="tx1"/>
            </w14:solidFill>
          </w14:textFill>
        </w:rPr>
      </w:pPr>
    </w:p>
    <w:p>
      <w:pPr>
        <w:pStyle w:val="5"/>
        <w:shd w:val="clear"/>
        <w:spacing w:beforeLines="0" w:afterLines="0" w:line="560" w:lineRule="exact"/>
        <w:ind w:firstLine="5040" w:firstLineChars="1800"/>
        <w:jc w:val="right"/>
        <w:rPr>
          <w:rFonts w:hint="eastAsia" w:ascii="仿宋" w:hAnsi="仿宋" w:eastAsia="仿宋" w:cs="仿宋"/>
          <w:color w:val="000000" w:themeColor="text1"/>
          <w:sz w:val="28"/>
          <w:highlight w:val="none"/>
          <w14:textFill>
            <w14:solidFill>
              <w14:schemeClr w14:val="tx1"/>
            </w14:solidFill>
          </w14:textFill>
        </w:rPr>
      </w:pPr>
    </w:p>
    <w:p>
      <w:pPr>
        <w:pStyle w:val="5"/>
        <w:keepNext w:val="0"/>
        <w:keepLines w:val="0"/>
        <w:pageBreakBefore w:val="0"/>
        <w:widowControl w:val="0"/>
        <w:shd w:val="clear"/>
        <w:kinsoku/>
        <w:wordWrap/>
        <w:overflowPunct/>
        <w:topLinePunct w:val="0"/>
        <w:autoSpaceDE/>
        <w:autoSpaceDN/>
        <w:bidi w:val="0"/>
        <w:adjustRightInd/>
        <w:snapToGrid/>
        <w:spacing w:beforeLines="0" w:afterLines="0" w:line="560" w:lineRule="exact"/>
        <w:ind w:left="0" w:firstLine="0" w:firstLineChars="0"/>
        <w:jc w:val="left"/>
        <w:textAlignment w:val="auto"/>
        <w:rPr>
          <w:rFonts w:hint="eastAsia" w:ascii="仿宋" w:hAnsi="仿宋" w:eastAsia="仿宋" w:cs="仿宋"/>
          <w:b/>
          <w:color w:val="000000" w:themeColor="text1"/>
          <w:sz w:val="28"/>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注：本授权委托代理人需提供供应商近三个月（扣除发布采购公告当月往前顺推3个月，即</w:t>
      </w:r>
      <w:r>
        <w:rPr>
          <w:rFonts w:hint="eastAsia" w:ascii="仿宋" w:hAnsi="仿宋" w:eastAsia="仿宋" w:cs="仿宋"/>
          <w:b/>
          <w:color w:val="000000" w:themeColor="text1"/>
          <w:sz w:val="24"/>
          <w:highlight w:val="none"/>
          <w:u w:val="single"/>
          <w14:textFill>
            <w14:solidFill>
              <w14:schemeClr w14:val="tx1"/>
            </w14:solidFill>
          </w14:textFill>
        </w:rPr>
        <w:t xml:space="preserve"> 202</w:t>
      </w:r>
      <w:r>
        <w:rPr>
          <w:rFonts w:hint="eastAsia" w:ascii="仿宋" w:hAnsi="仿宋" w:eastAsia="仿宋" w:cs="仿宋"/>
          <w:b/>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b/>
          <w:color w:val="000000" w:themeColor="text1"/>
          <w:sz w:val="24"/>
          <w:highlight w:val="none"/>
          <w14:textFill>
            <w14:solidFill>
              <w14:schemeClr w14:val="tx1"/>
            </w14:solidFill>
          </w14:textFill>
        </w:rPr>
        <w:t>年</w:t>
      </w:r>
      <w:r>
        <w:rPr>
          <w:rFonts w:hint="eastAsia" w:ascii="仿宋" w:hAnsi="仿宋" w:eastAsia="仿宋" w:cs="仿宋"/>
          <w:b/>
          <w:color w:val="000000" w:themeColor="text1"/>
          <w:sz w:val="24"/>
          <w:highlight w:val="none"/>
          <w:u w:val="single"/>
          <w14:textFill>
            <w14:solidFill>
              <w14:schemeClr w14:val="tx1"/>
            </w14:solidFill>
          </w14:textFill>
        </w:rPr>
        <w:t xml:space="preserve"> </w:t>
      </w:r>
      <w:r>
        <w:rPr>
          <w:rFonts w:hint="eastAsia" w:ascii="仿宋" w:hAnsi="仿宋" w:eastAsia="仿宋" w:cs="仿宋"/>
          <w:b/>
          <w:color w:val="000000" w:themeColor="text1"/>
          <w:sz w:val="24"/>
          <w:highlight w:val="none"/>
          <w:u w:val="single"/>
          <w:lang w:val="en-US" w:eastAsia="zh-CN"/>
          <w14:textFill>
            <w14:solidFill>
              <w14:schemeClr w14:val="tx1"/>
            </w14:solidFill>
          </w14:textFill>
        </w:rPr>
        <w:t>4</w:t>
      </w:r>
      <w:r>
        <w:rPr>
          <w:rFonts w:hint="eastAsia" w:ascii="仿宋" w:hAnsi="仿宋" w:eastAsia="仿宋" w:cs="仿宋"/>
          <w:b/>
          <w:color w:val="000000" w:themeColor="text1"/>
          <w:sz w:val="24"/>
          <w:highlight w:val="none"/>
          <w:u w:val="single"/>
          <w14:textFill>
            <w14:solidFill>
              <w14:schemeClr w14:val="tx1"/>
            </w14:solidFill>
          </w14:textFill>
        </w:rPr>
        <w:t xml:space="preserve"> </w:t>
      </w:r>
      <w:r>
        <w:rPr>
          <w:rFonts w:hint="eastAsia" w:ascii="仿宋" w:hAnsi="仿宋" w:eastAsia="仿宋" w:cs="仿宋"/>
          <w:b/>
          <w:color w:val="000000" w:themeColor="text1"/>
          <w:sz w:val="24"/>
          <w:highlight w:val="none"/>
          <w14:textFill>
            <w14:solidFill>
              <w14:schemeClr w14:val="tx1"/>
            </w14:solidFill>
          </w14:textFill>
        </w:rPr>
        <w:t>月至</w:t>
      </w:r>
      <w:r>
        <w:rPr>
          <w:rFonts w:hint="eastAsia" w:ascii="仿宋" w:hAnsi="仿宋" w:eastAsia="仿宋" w:cs="仿宋"/>
          <w:b/>
          <w:color w:val="000000" w:themeColor="text1"/>
          <w:sz w:val="24"/>
          <w:highlight w:val="none"/>
          <w:u w:val="single"/>
          <w14:textFill>
            <w14:solidFill>
              <w14:schemeClr w14:val="tx1"/>
            </w14:solidFill>
          </w14:textFill>
        </w:rPr>
        <w:t>202</w:t>
      </w:r>
      <w:r>
        <w:rPr>
          <w:rFonts w:hint="eastAsia" w:ascii="仿宋" w:hAnsi="仿宋" w:eastAsia="仿宋" w:cs="仿宋"/>
          <w:b/>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b/>
          <w:color w:val="000000" w:themeColor="text1"/>
          <w:sz w:val="24"/>
          <w:highlight w:val="none"/>
          <w14:textFill>
            <w14:solidFill>
              <w14:schemeClr w14:val="tx1"/>
            </w14:solidFill>
          </w14:textFill>
        </w:rPr>
        <w:t>年</w:t>
      </w:r>
      <w:r>
        <w:rPr>
          <w:rFonts w:hint="eastAsia" w:ascii="仿宋" w:hAnsi="仿宋" w:eastAsia="仿宋" w:cs="仿宋"/>
          <w:b/>
          <w:color w:val="000000" w:themeColor="text1"/>
          <w:sz w:val="24"/>
          <w:highlight w:val="none"/>
          <w:u w:val="single"/>
          <w14:textFill>
            <w14:solidFill>
              <w14:schemeClr w14:val="tx1"/>
            </w14:solidFill>
          </w14:textFill>
        </w:rPr>
        <w:t xml:space="preserve"> </w:t>
      </w:r>
      <w:r>
        <w:rPr>
          <w:rFonts w:hint="eastAsia" w:ascii="仿宋" w:hAnsi="仿宋" w:eastAsia="仿宋" w:cs="仿宋"/>
          <w:b/>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b/>
          <w:color w:val="000000" w:themeColor="text1"/>
          <w:sz w:val="24"/>
          <w:highlight w:val="none"/>
          <w:u w:val="single"/>
          <w14:textFill>
            <w14:solidFill>
              <w14:schemeClr w14:val="tx1"/>
            </w14:solidFill>
          </w14:textFill>
        </w:rPr>
        <w:t xml:space="preserve"> </w:t>
      </w:r>
      <w:r>
        <w:rPr>
          <w:rFonts w:hint="eastAsia" w:ascii="仿宋" w:hAnsi="仿宋" w:eastAsia="仿宋" w:cs="仿宋"/>
          <w:b/>
          <w:color w:val="000000" w:themeColor="text1"/>
          <w:sz w:val="24"/>
          <w:highlight w:val="none"/>
          <w14:textFill>
            <w14:solidFill>
              <w14:schemeClr w14:val="tx1"/>
            </w14:solidFill>
          </w14:textFill>
        </w:rPr>
        <w:t>月）为本授权委托代理人缴纳社保资金的有效的社保证明材料。以供应商（或其分支机构）所属当地社保管理部门出具的证明材料的原件或复印件为准，并作为本授权委托书的附件。</w:t>
      </w:r>
    </w:p>
    <w:p>
      <w:pPr>
        <w:pStyle w:val="5"/>
        <w:shd w:val="clear"/>
        <w:spacing w:beforeLines="0" w:afterLines="0" w:line="560" w:lineRule="exact"/>
        <w:ind w:firstLine="5040" w:firstLineChars="1800"/>
        <w:jc w:val="right"/>
        <w:rPr>
          <w:rFonts w:hint="eastAsia" w:ascii="仿宋" w:hAnsi="仿宋" w:eastAsia="仿宋" w:cs="仿宋"/>
          <w:color w:val="000000" w:themeColor="text1"/>
          <w:sz w:val="28"/>
          <w:highlight w:val="none"/>
          <w14:textFill>
            <w14:solidFill>
              <w14:schemeClr w14:val="tx1"/>
            </w14:solidFill>
          </w14:textFill>
        </w:rPr>
      </w:pPr>
    </w:p>
    <w:p>
      <w:pPr>
        <w:pStyle w:val="5"/>
        <w:shd w:val="clear"/>
        <w:spacing w:beforeLines="0" w:afterLines="0" w:line="560" w:lineRule="exact"/>
        <w:ind w:firstLine="0" w:firstLineChars="0"/>
        <w:jc w:val="right"/>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供应商：</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（单位公章）</w:t>
      </w:r>
    </w:p>
    <w:p>
      <w:pPr>
        <w:pStyle w:val="5"/>
        <w:shd w:val="clear"/>
        <w:spacing w:beforeLines="0" w:afterLines="0" w:line="560" w:lineRule="exact"/>
        <w:ind w:right="-2" w:firstLine="0" w:firstLineChars="0"/>
        <w:jc w:val="right"/>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法定代表人或负责人：</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（签字或盖章）</w:t>
      </w:r>
    </w:p>
    <w:p>
      <w:pPr>
        <w:pStyle w:val="5"/>
        <w:shd w:val="clear"/>
        <w:wordWrap w:val="0"/>
        <w:spacing w:beforeLines="0" w:afterLines="0" w:line="560" w:lineRule="exact"/>
        <w:ind w:right="-2" w:firstLine="0" w:firstLineChars="0"/>
        <w:jc w:val="right"/>
        <w:rPr>
          <w:rFonts w:hint="eastAsia" w:ascii="仿宋" w:hAnsi="仿宋" w:eastAsia="仿宋" w:cs="仿宋"/>
          <w:color w:val="000000" w:themeColor="text1"/>
          <w:sz w:val="28"/>
          <w:highlight w:val="none"/>
          <w:u w:val="singl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身份证号码：</w:t>
      </w:r>
      <w:r>
        <w:rPr>
          <w:rFonts w:hint="eastAsia" w:ascii="仿宋" w:hAnsi="仿宋" w:eastAsia="仿宋" w:cs="仿宋"/>
          <w:color w:val="000000" w:themeColor="text1"/>
          <w:sz w:val="28"/>
          <w:highlight w:val="none"/>
          <w:u w:val="single"/>
          <w14:textFill>
            <w14:solidFill>
              <w14:schemeClr w14:val="tx1"/>
            </w14:solidFill>
          </w14:textFill>
        </w:rPr>
        <w:t xml:space="preserve">                           </w:t>
      </w:r>
    </w:p>
    <w:p>
      <w:pPr>
        <w:pStyle w:val="5"/>
        <w:shd w:val="clear"/>
        <w:spacing w:beforeLines="0" w:afterLines="0" w:line="560" w:lineRule="exact"/>
        <w:ind w:right="-2" w:firstLine="0" w:firstLineChars="0"/>
        <w:jc w:val="right"/>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委托代理人：</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（签字）</w:t>
      </w:r>
    </w:p>
    <w:p>
      <w:pPr>
        <w:pStyle w:val="14"/>
        <w:numPr>
          <w:ilvl w:val="0"/>
          <w:numId w:val="0"/>
        </w:numPr>
        <w:ind w:left="2738" w:leftChars="1304" w:firstLine="0" w:firstLineChars="0"/>
        <w:outlineLvl w:val="9"/>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身份证号码：</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 xml:space="preserve">              </w:t>
      </w:r>
    </w:p>
    <w:p>
      <w:pPr>
        <w:pStyle w:val="14"/>
        <w:numPr>
          <w:ilvl w:val="0"/>
          <w:numId w:val="0"/>
        </w:numPr>
        <w:ind w:left="2738" w:leftChars="1304" w:firstLine="0" w:firstLineChars="0"/>
        <w:outlineLvl w:val="9"/>
        <w:rPr>
          <w:rFonts w:hint="eastAsia" w:ascii="仿宋" w:hAnsi="仿宋" w:eastAsia="仿宋" w:cs="仿宋"/>
          <w:color w:val="000000" w:themeColor="text1"/>
          <w:sz w:val="28"/>
          <w:highlight w:val="none"/>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color w:val="000000" w:themeColor="text1"/>
          <w:sz w:val="28"/>
          <w:highlight w:val="none"/>
          <w14:textFill>
            <w14:solidFill>
              <w14:schemeClr w14:val="tx1"/>
            </w14:solidFill>
          </w14:textFill>
        </w:rPr>
        <w:t xml:space="preserve">日期: </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年</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月</w:t>
      </w:r>
      <w:r>
        <w:rPr>
          <w:rFonts w:hint="eastAsia" w:ascii="仿宋" w:hAnsi="仿宋" w:eastAsia="仿宋" w:cs="仿宋"/>
          <w:color w:val="000000" w:themeColor="text1"/>
          <w:sz w:val="28"/>
          <w:highlight w:val="none"/>
          <w:u w:val="single"/>
          <w14:textFill>
            <w14:solidFill>
              <w14:schemeClr w14:val="tx1"/>
            </w14:solidFill>
          </w14:textFill>
        </w:rPr>
        <w:t xml:space="preserve">   </w:t>
      </w:r>
      <w:r>
        <w:rPr>
          <w:rFonts w:hint="eastAsia" w:ascii="仿宋" w:hAnsi="仿宋" w:eastAsia="仿宋" w:cs="仿宋"/>
          <w:color w:val="000000" w:themeColor="text1"/>
          <w:sz w:val="28"/>
          <w:highlight w:val="none"/>
          <w14:textFill>
            <w14:solidFill>
              <w14:schemeClr w14:val="tx1"/>
            </w14:solidFill>
          </w14:textFill>
        </w:rPr>
        <w:t>日</w:t>
      </w:r>
    </w:p>
    <w:p>
      <w:pPr>
        <w:pStyle w:val="5"/>
        <w:shd w:val="clear"/>
        <w:spacing w:beforeLines="0" w:afterLines="0" w:line="560" w:lineRule="exact"/>
        <w:ind w:firstLine="0" w:firstLineChars="0"/>
        <w:jc w:val="both"/>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三、资格审查资料</w:t>
      </w:r>
    </w:p>
    <w:p>
      <w:pPr>
        <w:shd w:val="clear"/>
        <w:spacing w:beforeLines="0" w:afterLines="0" w:line="360" w:lineRule="auto"/>
        <w:jc w:val="center"/>
        <w:rPr>
          <w:rFonts w:hint="eastAsia" w:ascii="仿宋" w:hAnsi="仿宋" w:eastAsia="仿宋" w:cs="仿宋"/>
          <w:b/>
          <w:color w:val="000000" w:themeColor="text1"/>
          <w:sz w:val="36"/>
          <w:highlight w:val="none"/>
          <w14:textFill>
            <w14:solidFill>
              <w14:schemeClr w14:val="tx1"/>
            </w14:solidFill>
          </w14:textFill>
        </w:rPr>
      </w:pPr>
      <w:r>
        <w:rPr>
          <w:rFonts w:hint="eastAsia" w:ascii="仿宋" w:hAnsi="仿宋" w:eastAsia="仿宋" w:cs="仿宋"/>
          <w:b/>
          <w:color w:val="000000" w:themeColor="text1"/>
          <w:sz w:val="36"/>
          <w:highlight w:val="none"/>
          <w14:textFill>
            <w14:solidFill>
              <w14:schemeClr w14:val="tx1"/>
            </w14:solidFill>
          </w14:textFill>
        </w:rPr>
        <w:t>资格声明函</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textAlignment w:val="auto"/>
        <w:rPr>
          <w:rFonts w:hint="eastAsia"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致：佛山市顺博城市发展有限公司</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一、本公司（企业）是中华人民共和国境内注册、具有独立承担民事责任能力的独立法人资格或其他组织；</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二、本公司（企业）为</w:t>
      </w:r>
      <w:r>
        <w:rPr>
          <w:rFonts w:hint="eastAsia" w:ascii="仿宋" w:hAnsi="仿宋" w:eastAsia="仿宋" w:cs="仿宋"/>
          <w:b/>
          <w:bCs/>
          <w:color w:val="000000" w:themeColor="text1"/>
          <w:sz w:val="24"/>
          <w:highlight w:val="none"/>
          <w14:textFill>
            <w14:solidFill>
              <w14:schemeClr w14:val="tx1"/>
            </w14:solidFill>
          </w14:textFill>
        </w:rPr>
        <w:t>海砂矿业权人</w:t>
      </w:r>
      <w:r>
        <w:rPr>
          <w:rFonts w:hint="eastAsia" w:ascii="仿宋" w:hAnsi="仿宋" w:eastAsia="仿宋" w:cs="仿宋"/>
          <w:color w:val="000000" w:themeColor="text1"/>
          <w:sz w:val="24"/>
          <w:highlight w:val="none"/>
          <w14:textFill>
            <w14:solidFill>
              <w14:schemeClr w14:val="tx1"/>
            </w14:solidFill>
          </w14:textFill>
        </w:rPr>
        <w:t>或</w:t>
      </w:r>
      <w:r>
        <w:rPr>
          <w:rFonts w:hint="eastAsia" w:ascii="仿宋" w:hAnsi="仿宋" w:eastAsia="仿宋" w:cs="仿宋"/>
          <w:b/>
          <w:bCs/>
          <w:color w:val="000000" w:themeColor="text1"/>
          <w:sz w:val="24"/>
          <w:highlight w:val="none"/>
          <w14:textFill>
            <w14:solidFill>
              <w14:schemeClr w14:val="tx1"/>
            </w14:solidFill>
          </w14:textFill>
        </w:rPr>
        <w:t>海砂矿业权人指定的经销商/代理商</w:t>
      </w:r>
      <w:r>
        <w:rPr>
          <w:rFonts w:hint="eastAsia" w:ascii="仿宋" w:hAnsi="仿宋" w:eastAsia="仿宋" w:cs="仿宋"/>
          <w:color w:val="000000" w:themeColor="text1"/>
          <w:sz w:val="24"/>
          <w:highlight w:val="none"/>
          <w14:textFill>
            <w14:solidFill>
              <w14:schemeClr w14:val="tx1"/>
            </w14:solidFill>
          </w14:textFill>
        </w:rPr>
        <w:t>或</w:t>
      </w:r>
      <w:r>
        <w:rPr>
          <w:rFonts w:hint="eastAsia" w:ascii="仿宋" w:hAnsi="仿宋" w:eastAsia="仿宋" w:cs="仿宋"/>
          <w:b/>
          <w:bCs/>
          <w:color w:val="000000" w:themeColor="text1"/>
          <w:sz w:val="24"/>
          <w:highlight w:val="none"/>
          <w14:textFill>
            <w14:solidFill>
              <w14:schemeClr w14:val="tx1"/>
            </w14:solidFill>
          </w14:textFill>
        </w:rPr>
        <w:t>由海砂矿业权人指定的经销商/代理商合法授权的分销商</w:t>
      </w:r>
      <w:r>
        <w:rPr>
          <w:rFonts w:hint="eastAsia" w:ascii="仿宋" w:hAnsi="仿宋" w:eastAsia="仿宋" w:cs="仿宋"/>
          <w:b w:val="0"/>
          <w:bCs w:val="0"/>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
          <w:bCs/>
          <w:color w:val="000000" w:themeColor="text1"/>
          <w:sz w:val="24"/>
          <w:highlight w:val="none"/>
          <w14:textFill>
            <w14:solidFill>
              <w14:schemeClr w14:val="tx1"/>
            </w14:solidFill>
          </w14:textFill>
        </w:rPr>
        <w:t>海砂矿业权人</w:t>
      </w:r>
      <w:r>
        <w:rPr>
          <w:rFonts w:hint="eastAsia" w:ascii="仿宋" w:hAnsi="仿宋" w:eastAsia="仿宋" w:cs="仿宋"/>
          <w:color w:val="000000" w:themeColor="text1"/>
          <w:sz w:val="24"/>
          <w:highlight w:val="none"/>
          <w14:textFill>
            <w14:solidFill>
              <w14:schemeClr w14:val="tx1"/>
            </w14:solidFill>
          </w14:textFill>
        </w:rPr>
        <w:t>的须提供有效的采矿许可证/不动产登记证等权属证明；</w:t>
      </w:r>
      <w:r>
        <w:rPr>
          <w:rFonts w:hint="eastAsia" w:ascii="仿宋" w:hAnsi="仿宋" w:eastAsia="仿宋" w:cs="仿宋"/>
          <w:b/>
          <w:bCs/>
          <w:color w:val="000000" w:themeColor="text1"/>
          <w:sz w:val="24"/>
          <w:highlight w:val="none"/>
          <w14:textFill>
            <w14:solidFill>
              <w14:schemeClr w14:val="tx1"/>
            </w14:solidFill>
          </w14:textFill>
        </w:rPr>
        <w:t>海砂矿业权人指定的经销商/代理商</w:t>
      </w:r>
      <w:r>
        <w:rPr>
          <w:rFonts w:hint="eastAsia" w:ascii="仿宋" w:hAnsi="仿宋" w:eastAsia="仿宋" w:cs="仿宋"/>
          <w:color w:val="000000" w:themeColor="text1"/>
          <w:sz w:val="24"/>
          <w:highlight w:val="none"/>
          <w14:textFill>
            <w14:solidFill>
              <w14:schemeClr w14:val="tx1"/>
            </w14:solidFill>
          </w14:textFill>
        </w:rPr>
        <w:t>的须提供海砂矿业权人有效的采矿许可证/不动产登记证等权属证明、与海砂矿业权人签订的有效授权书或经销（代理）合同或中标证明资料，授权链须完整清晰，确保可溯源至源头矿业权人；</w:t>
      </w:r>
      <w:r>
        <w:rPr>
          <w:rFonts w:hint="eastAsia" w:ascii="仿宋" w:hAnsi="仿宋" w:eastAsia="仿宋" w:cs="仿宋"/>
          <w:b/>
          <w:bCs/>
          <w:color w:val="000000" w:themeColor="text1"/>
          <w:sz w:val="24"/>
          <w:highlight w:val="none"/>
          <w14:textFill>
            <w14:solidFill>
              <w14:schemeClr w14:val="tx1"/>
            </w14:solidFill>
          </w14:textFill>
        </w:rPr>
        <w:t>由海砂矿业权人指定的经销商/代理商合法授权的分销商</w:t>
      </w:r>
      <w:r>
        <w:rPr>
          <w:rFonts w:hint="eastAsia" w:ascii="仿宋" w:hAnsi="仿宋" w:eastAsia="仿宋" w:cs="仿宋"/>
          <w:color w:val="000000" w:themeColor="text1"/>
          <w:sz w:val="24"/>
          <w:highlight w:val="none"/>
          <w14:textFill>
            <w14:solidFill>
              <w14:schemeClr w14:val="tx1"/>
            </w14:solidFill>
          </w14:textFill>
        </w:rPr>
        <w:t>的须提供除海砂矿业权人指定的经销商/代理商所需资料外，还须提供由海砂矿业权人指定的经销商/代理商合法授权的证明资料】；</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三、本公司（企业）所提供的海砂（</w:t>
      </w:r>
      <w:r>
        <w:rPr>
          <w:rFonts w:hint="eastAsia" w:ascii="仿宋" w:hAnsi="仿宋" w:eastAsia="仿宋" w:cs="仿宋"/>
          <w:color w:val="000000" w:themeColor="text1"/>
          <w:sz w:val="24"/>
          <w:highlight w:val="none"/>
          <w:lang w:val="en-US" w:eastAsia="zh-CN"/>
          <w14:textFill>
            <w14:solidFill>
              <w14:schemeClr w14:val="tx1"/>
            </w14:solidFill>
          </w14:textFill>
        </w:rPr>
        <w:t>未淡化</w:t>
      </w:r>
      <w:r>
        <w:rPr>
          <w:rFonts w:hint="eastAsia" w:ascii="仿宋" w:hAnsi="仿宋" w:eastAsia="仿宋" w:cs="仿宋"/>
          <w:color w:val="000000" w:themeColor="text1"/>
          <w:sz w:val="24"/>
          <w:highlight w:val="none"/>
          <w14:textFill>
            <w14:solidFill>
              <w14:schemeClr w14:val="tx1"/>
            </w14:solidFill>
          </w14:textFill>
        </w:rPr>
        <w:t>）的砂源地矿区/标段须经属地自然资源主管部门报县级以上地方人民政府组织纳入公共资源交易平台公开出让，须为政府主管部门最新公布的合法矿区/标段名录内，或已依法取得合法采矿权的矿区/标段。【供应商提供砂源地所属主管部门出具的开采许可证、不动产登记证或公开交易公示信息截图】</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四、本公司（企业）未被列入信用中国网站（https://www.creditchina.gov.cn/）“失信被执行人”、“重大税收违法失信主体”、“政府采购严重违法失信行为”记录名单；未被列入中国政府采购网网站（http://www.ccgp.gov.cn/search/cr/）“政府采购严重违法失信行为”记录名单。【以采购方于响应截止日当天在信用中国网站（https://www.creditchina.gov.cn/）、中国政府采购网网站（http://www.ccgp.gov.cn/search/cr/）查询结果为准，如相关失信记录已失效，供应商需提供相关证明资料】</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五、本公司（企业）最近三年内不存在与合同有关的犯罪或严重违法行为而引起的诉讼和仲裁等纠纷；近三年不存在合同中严重违约或被有关单位列入供应商“黑名单”或“失信名单”；财产不存在被接管或冻结，不存在处于禁止或取消投标状态；不存在不良产品质量记录的情形。（提供《供应商资格声明函》）</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六、本公司（企业）提供的采矿许可时限超过3个月（由提交响应文件当日起至采矿权许可结束之日）。（提供《供应商资格声明函》）</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七、本公司（企业）非联合体参加采购活动。</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八、本公司（企业）单位负责人为同一人或者存在控股、管理关系的不同单位，不得同时参加本项目，否则均视为无效报价。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本公司（企业）承诺在本次招募活动中，如有违法、违规、弄虚作假行为，所造成的损失、不良后果及法律责任，一律由我公司（企业）承担。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特此声明！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备注：1.本声明函必须提供且内容不得擅自删改，否则视为无效响应。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2.本声明函如有虚假或与事实不符的，作无效响应处理。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供应商代表签字：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供应商名称：                   （加盖供应商公章）</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附件： </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（1）提供在中华人民共和国境内注册的法人或其他组织，响应时提交有效的营业执照（或事业法人登记证等相关证明）</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复印件并加盖公章</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（2）</w:t>
      </w:r>
      <w:r>
        <w:rPr>
          <w:rFonts w:hint="eastAsia" w:ascii="仿宋" w:hAnsi="仿宋" w:eastAsia="仿宋" w:cs="仿宋"/>
          <w:b/>
          <w:bCs/>
          <w:color w:val="000000" w:themeColor="text1"/>
          <w:sz w:val="24"/>
          <w:highlight w:val="none"/>
          <w14:textFill>
            <w14:solidFill>
              <w14:schemeClr w14:val="tx1"/>
            </w14:solidFill>
          </w14:textFill>
        </w:rPr>
        <w:t>海砂矿业权人</w:t>
      </w:r>
      <w:r>
        <w:rPr>
          <w:rFonts w:hint="eastAsia" w:ascii="仿宋" w:hAnsi="仿宋" w:eastAsia="仿宋" w:cs="仿宋"/>
          <w:color w:val="000000" w:themeColor="text1"/>
          <w:sz w:val="24"/>
          <w:highlight w:val="none"/>
          <w14:textFill>
            <w14:solidFill>
              <w14:schemeClr w14:val="tx1"/>
            </w14:solidFill>
          </w14:textFill>
        </w:rPr>
        <w:t>的须提供有效的采矿许可证/不动产登记证等权属证明；</w:t>
      </w:r>
      <w:r>
        <w:rPr>
          <w:rFonts w:hint="eastAsia" w:ascii="仿宋" w:hAnsi="仿宋" w:eastAsia="仿宋" w:cs="仿宋"/>
          <w:b/>
          <w:bCs/>
          <w:color w:val="000000" w:themeColor="text1"/>
          <w:sz w:val="24"/>
          <w:highlight w:val="none"/>
          <w14:textFill>
            <w14:solidFill>
              <w14:schemeClr w14:val="tx1"/>
            </w14:solidFill>
          </w14:textFill>
        </w:rPr>
        <w:t>海砂矿业权人指定的经销商/代理商</w:t>
      </w:r>
      <w:r>
        <w:rPr>
          <w:rFonts w:hint="eastAsia" w:ascii="仿宋" w:hAnsi="仿宋" w:eastAsia="仿宋" w:cs="仿宋"/>
          <w:color w:val="000000" w:themeColor="text1"/>
          <w:sz w:val="24"/>
          <w:highlight w:val="none"/>
          <w14:textFill>
            <w14:solidFill>
              <w14:schemeClr w14:val="tx1"/>
            </w14:solidFill>
          </w14:textFill>
        </w:rPr>
        <w:t>的须提供海砂矿业权人有效的采矿许可证/不动产登记证等权属证明、与海砂矿业权人签订的有效授权书或经销（代理）合同或中标证明资料，授权链须完整清晰，确保可溯源至源头矿业权人；</w:t>
      </w:r>
      <w:r>
        <w:rPr>
          <w:rFonts w:hint="eastAsia" w:ascii="仿宋" w:hAnsi="仿宋" w:eastAsia="仿宋" w:cs="仿宋"/>
          <w:b/>
          <w:bCs/>
          <w:color w:val="000000" w:themeColor="text1"/>
          <w:sz w:val="24"/>
          <w:highlight w:val="none"/>
          <w14:textFill>
            <w14:solidFill>
              <w14:schemeClr w14:val="tx1"/>
            </w14:solidFill>
          </w14:textFill>
        </w:rPr>
        <w:t>由海砂矿业权人指定的经销商/代理商合法授权的分销商</w:t>
      </w:r>
      <w:r>
        <w:rPr>
          <w:rFonts w:hint="eastAsia" w:ascii="仿宋" w:hAnsi="仿宋" w:eastAsia="仿宋" w:cs="仿宋"/>
          <w:color w:val="000000" w:themeColor="text1"/>
          <w:sz w:val="24"/>
          <w:highlight w:val="none"/>
          <w14:textFill>
            <w14:solidFill>
              <w14:schemeClr w14:val="tx1"/>
            </w14:solidFill>
          </w14:textFill>
        </w:rPr>
        <w:t>的须提供除海砂矿业权人指定的经销商/代理商所需资料外，还须提供由海砂矿业权人指定的经销商/代理商合法授权的证明资料</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复印件并加盖公章</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（3）提供砂源地所属主管部门出具的开采许可证、不动产登记证或公开交易公示信息截图</w:t>
      </w:r>
      <w:r>
        <w:rPr>
          <w:rFonts w:hint="eastAsia" w:ascii="仿宋" w:hAnsi="仿宋" w:eastAsia="仿宋" w:cs="仿宋"/>
          <w:color w:val="000000" w:themeColor="text1"/>
          <w:sz w:val="24"/>
          <w:highlight w:val="none"/>
          <w:lang w:eastAsia="zh-CN"/>
          <w14:textFill>
            <w14:solidFill>
              <w14:schemeClr w14:val="tx1"/>
            </w14:solidFill>
          </w14:textFill>
        </w:rPr>
        <w:t>（复印件</w:t>
      </w:r>
      <w:r>
        <w:rPr>
          <w:rFonts w:hint="eastAsia" w:ascii="仿宋" w:hAnsi="仿宋" w:eastAsia="仿宋" w:cs="仿宋"/>
          <w:color w:val="000000" w:themeColor="text1"/>
          <w:sz w:val="24"/>
          <w:highlight w:val="none"/>
          <w14:textFill>
            <w14:solidFill>
              <w14:schemeClr w14:val="tx1"/>
            </w14:solidFill>
          </w14:textFill>
        </w:rPr>
        <w:t>加盖公章</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（4）提供信用中国及中国政府采购网中明确有供应商名称的查询网页截图</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复印件并加盖公章</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val="0"/>
        <w:snapToGrid/>
        <w:spacing w:beforeLines="0" w:afterLines="0"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缺少以上</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2</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项文件的其中一项，按无效响应处理，且文件必须真实有效。</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 xml:space="preserve"> </w:t>
      </w:r>
    </w:p>
    <w:p>
      <w:pPr>
        <w:pStyle w:val="5"/>
        <w:keepLines/>
        <w:widowControl/>
        <w:shd w:val="clear"/>
        <w:spacing w:beforeLines="0" w:afterLines="0" w:line="360" w:lineRule="auto"/>
        <w:ind w:firstLine="0" w:firstLineChars="0"/>
        <w:rPr>
          <w:rFonts w:hint="eastAsia" w:ascii="仿宋" w:hAnsi="仿宋" w:eastAsia="仿宋" w:cs="仿宋"/>
          <w:color w:val="000000" w:themeColor="text1"/>
          <w:sz w:val="24"/>
          <w:highlight w:val="none"/>
          <w14:textFill>
            <w14:solidFill>
              <w14:schemeClr w14:val="tx1"/>
            </w14:solidFill>
          </w14:textFill>
        </w:rPr>
      </w:pPr>
    </w:p>
    <w:p>
      <w:pPr>
        <w:rPr>
          <w:rFonts w:hint="eastAsia" w:ascii="仿宋" w:hAnsi="仿宋" w:eastAsia="仿宋" w:cs="仿宋"/>
          <w:color w:val="000000" w:themeColor="text1"/>
          <w:sz w:val="28"/>
          <w:highlight w:val="none"/>
          <w:lang w:val="en-US" w:eastAsia="zh-CN"/>
          <w14:textFill>
            <w14:solidFill>
              <w14:schemeClr w14:val="tx1"/>
            </w14:solidFill>
          </w14:textFill>
        </w:rPr>
      </w:pPr>
      <w:r>
        <w:rPr>
          <w:rFonts w:hint="eastAsia" w:ascii="仿宋" w:hAnsi="仿宋" w:eastAsia="仿宋" w:cs="仿宋"/>
          <w:color w:val="000000" w:themeColor="text1"/>
          <w:sz w:val="28"/>
          <w:highlight w:val="none"/>
          <w:lang w:val="en-US" w:eastAsia="zh-CN"/>
          <w14:textFill>
            <w14:solidFill>
              <w14:schemeClr w14:val="tx1"/>
            </w14:solidFill>
          </w14:textFill>
        </w:rPr>
        <w:br w:type="page"/>
      </w:r>
    </w:p>
    <w:p>
      <w:pPr>
        <w:pStyle w:val="5"/>
        <w:shd w:val="clear"/>
        <w:spacing w:beforeLines="0" w:afterLines="0" w:line="560" w:lineRule="exact"/>
        <w:ind w:firstLine="0" w:firstLineChars="0"/>
        <w:jc w:val="both"/>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四、其他说明</w:t>
      </w:r>
    </w:p>
    <w:p>
      <w:pPr>
        <w:shd w:val="clear"/>
        <w:spacing w:beforeLines="0" w:afterLines="0"/>
        <w:rPr>
          <w:rFonts w:hint="eastAsia" w:ascii="仿宋" w:hAnsi="仿宋" w:eastAsia="仿宋" w:cs="仿宋"/>
          <w:b/>
          <w:color w:val="000000" w:themeColor="text1"/>
          <w:sz w:val="36"/>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（内容包括但不限于：需要向</w:t>
      </w:r>
      <w:r>
        <w:rPr>
          <w:rFonts w:hint="eastAsia" w:ascii="仿宋" w:hAnsi="仿宋" w:eastAsia="仿宋" w:cs="仿宋"/>
          <w:color w:val="000000" w:themeColor="text1"/>
          <w:sz w:val="24"/>
          <w:highlight w:val="none"/>
          <w:lang w:eastAsia="zh-CN"/>
          <w14:textFill>
            <w14:solidFill>
              <w14:schemeClr w14:val="tx1"/>
            </w14:solidFill>
          </w14:textFill>
        </w:rPr>
        <w:t>采购人</w:t>
      </w:r>
      <w:r>
        <w:rPr>
          <w:rFonts w:hint="eastAsia" w:ascii="仿宋" w:hAnsi="仿宋" w:eastAsia="仿宋" w:cs="仿宋"/>
          <w:color w:val="000000" w:themeColor="text1"/>
          <w:sz w:val="24"/>
          <w:highlight w:val="none"/>
          <w14:textFill>
            <w14:solidFill>
              <w14:schemeClr w14:val="tx1"/>
            </w14:solidFill>
          </w14:textFill>
        </w:rPr>
        <w:t>如实告知的重要事项、重要补充承诺等，无则不需提供）</w:t>
      </w:r>
    </w:p>
    <w:p>
      <w:pPr>
        <w:pStyle w:val="14"/>
        <w:numPr>
          <w:ilvl w:val="0"/>
          <w:numId w:val="0"/>
        </w:numPr>
        <w:ind w:left="2738" w:leftChars="1304" w:firstLine="0" w:firstLineChars="0"/>
        <w:outlineLvl w:val="0"/>
        <w:rPr>
          <w:rFonts w:hint="eastAsia" w:ascii="仿宋" w:hAnsi="仿宋" w:eastAsia="仿宋" w:cs="仿宋"/>
          <w:color w:val="000000" w:themeColor="text1"/>
          <w:sz w:val="28"/>
          <w:highlight w:val="none"/>
          <w:lang w:val="en-US" w:eastAsia="zh-CN"/>
          <w14:textFill>
            <w14:solidFill>
              <w14:schemeClr w14:val="tx1"/>
            </w14:solidFill>
          </w14:textFill>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38654F"/>
    <w:multiLevelType w:val="singleLevel"/>
    <w:tmpl w:val="C738654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lNDY3Y2IwOWFiOTMwNWQ2YjhiMzJjOGM4Y2MyMGMifQ=="/>
    <w:docVar w:name="KSO_WPS_MARK_KEY" w:val="a060c46b-a7c5-40e9-ba00-9dd5adb66596"/>
  </w:docVars>
  <w:rsids>
    <w:rsidRoot w:val="00172A27"/>
    <w:rsid w:val="000276A0"/>
    <w:rsid w:val="000D5A33"/>
    <w:rsid w:val="00177DD0"/>
    <w:rsid w:val="001A15F9"/>
    <w:rsid w:val="001A4E42"/>
    <w:rsid w:val="00264DCF"/>
    <w:rsid w:val="00307DED"/>
    <w:rsid w:val="00322059"/>
    <w:rsid w:val="00386A33"/>
    <w:rsid w:val="005A6C2A"/>
    <w:rsid w:val="005A6C4B"/>
    <w:rsid w:val="006C2BB9"/>
    <w:rsid w:val="006E4DBD"/>
    <w:rsid w:val="00790DF4"/>
    <w:rsid w:val="00796EB0"/>
    <w:rsid w:val="007C61A4"/>
    <w:rsid w:val="00842B9D"/>
    <w:rsid w:val="008578D2"/>
    <w:rsid w:val="008E3EAB"/>
    <w:rsid w:val="00A80820"/>
    <w:rsid w:val="00B15E79"/>
    <w:rsid w:val="00B23A1E"/>
    <w:rsid w:val="00B420B4"/>
    <w:rsid w:val="00B539D0"/>
    <w:rsid w:val="00BA6515"/>
    <w:rsid w:val="00BC012D"/>
    <w:rsid w:val="00C448CD"/>
    <w:rsid w:val="00C862CE"/>
    <w:rsid w:val="00E31CFC"/>
    <w:rsid w:val="00E7287D"/>
    <w:rsid w:val="00E7629F"/>
    <w:rsid w:val="00E92B87"/>
    <w:rsid w:val="00F20B27"/>
    <w:rsid w:val="00F75340"/>
    <w:rsid w:val="00FA672E"/>
    <w:rsid w:val="00FE2E61"/>
    <w:rsid w:val="010B1E00"/>
    <w:rsid w:val="01571566"/>
    <w:rsid w:val="019A6EAF"/>
    <w:rsid w:val="01A33F48"/>
    <w:rsid w:val="01E96C2E"/>
    <w:rsid w:val="01EB59B4"/>
    <w:rsid w:val="02040ADD"/>
    <w:rsid w:val="02164D17"/>
    <w:rsid w:val="0224362A"/>
    <w:rsid w:val="024854B1"/>
    <w:rsid w:val="02927447"/>
    <w:rsid w:val="029A6A52"/>
    <w:rsid w:val="02C24BF1"/>
    <w:rsid w:val="03067406"/>
    <w:rsid w:val="03190570"/>
    <w:rsid w:val="032356B1"/>
    <w:rsid w:val="03367AB9"/>
    <w:rsid w:val="034104E4"/>
    <w:rsid w:val="03981F66"/>
    <w:rsid w:val="03D51A97"/>
    <w:rsid w:val="040123CD"/>
    <w:rsid w:val="04074A2A"/>
    <w:rsid w:val="040C0EB2"/>
    <w:rsid w:val="041078B8"/>
    <w:rsid w:val="041F7ED2"/>
    <w:rsid w:val="04957B11"/>
    <w:rsid w:val="04B509E1"/>
    <w:rsid w:val="04F15CAC"/>
    <w:rsid w:val="050D64D6"/>
    <w:rsid w:val="052A3888"/>
    <w:rsid w:val="05885E20"/>
    <w:rsid w:val="05E00BC0"/>
    <w:rsid w:val="05F30D52"/>
    <w:rsid w:val="0625679F"/>
    <w:rsid w:val="06281926"/>
    <w:rsid w:val="0631675B"/>
    <w:rsid w:val="063B7194"/>
    <w:rsid w:val="06582C75"/>
    <w:rsid w:val="066B1C96"/>
    <w:rsid w:val="0680729D"/>
    <w:rsid w:val="06B1240A"/>
    <w:rsid w:val="06B2159B"/>
    <w:rsid w:val="06D0743C"/>
    <w:rsid w:val="06D074D1"/>
    <w:rsid w:val="06D20FB0"/>
    <w:rsid w:val="070E6F20"/>
    <w:rsid w:val="07126147"/>
    <w:rsid w:val="0756099A"/>
    <w:rsid w:val="078A1921"/>
    <w:rsid w:val="07D07EDB"/>
    <w:rsid w:val="083B668E"/>
    <w:rsid w:val="088F199B"/>
    <w:rsid w:val="089C542D"/>
    <w:rsid w:val="08AC25CB"/>
    <w:rsid w:val="08AC51A2"/>
    <w:rsid w:val="08BC36FA"/>
    <w:rsid w:val="091031EE"/>
    <w:rsid w:val="091A7217"/>
    <w:rsid w:val="092D5151"/>
    <w:rsid w:val="093446A7"/>
    <w:rsid w:val="09560FC3"/>
    <w:rsid w:val="096F3207"/>
    <w:rsid w:val="099843CC"/>
    <w:rsid w:val="09FA536A"/>
    <w:rsid w:val="0A2F7DC2"/>
    <w:rsid w:val="0A6D20CC"/>
    <w:rsid w:val="0A9E16CC"/>
    <w:rsid w:val="0AB822A5"/>
    <w:rsid w:val="0B0E19AF"/>
    <w:rsid w:val="0B0E7285"/>
    <w:rsid w:val="0B1957C1"/>
    <w:rsid w:val="0B7329D8"/>
    <w:rsid w:val="0B7A2363"/>
    <w:rsid w:val="0B9D381C"/>
    <w:rsid w:val="0BC41A42"/>
    <w:rsid w:val="0BD613F8"/>
    <w:rsid w:val="0C07544A"/>
    <w:rsid w:val="0C1E506F"/>
    <w:rsid w:val="0C2574AE"/>
    <w:rsid w:val="0C48138E"/>
    <w:rsid w:val="0C7A7B7C"/>
    <w:rsid w:val="0CD33899"/>
    <w:rsid w:val="0CF47651"/>
    <w:rsid w:val="0D223618"/>
    <w:rsid w:val="0D4912D9"/>
    <w:rsid w:val="0D7A532C"/>
    <w:rsid w:val="0D904269"/>
    <w:rsid w:val="0D992B7F"/>
    <w:rsid w:val="0DFA7935"/>
    <w:rsid w:val="0E324ADA"/>
    <w:rsid w:val="0E4A278A"/>
    <w:rsid w:val="0E742DA7"/>
    <w:rsid w:val="0E7C659C"/>
    <w:rsid w:val="0EE213FB"/>
    <w:rsid w:val="0EE325CA"/>
    <w:rsid w:val="0F013EAE"/>
    <w:rsid w:val="0F162B4E"/>
    <w:rsid w:val="0F1E59DC"/>
    <w:rsid w:val="0F77606B"/>
    <w:rsid w:val="0FA87CB6"/>
    <w:rsid w:val="10690DE9"/>
    <w:rsid w:val="108B5765"/>
    <w:rsid w:val="109B61CD"/>
    <w:rsid w:val="10C14D88"/>
    <w:rsid w:val="10EF3152"/>
    <w:rsid w:val="1101035E"/>
    <w:rsid w:val="11277FB0"/>
    <w:rsid w:val="11761D10"/>
    <w:rsid w:val="11BB0C62"/>
    <w:rsid w:val="11E00A63"/>
    <w:rsid w:val="11EC6A74"/>
    <w:rsid w:val="122D30E1"/>
    <w:rsid w:val="122F69BB"/>
    <w:rsid w:val="12371472"/>
    <w:rsid w:val="12745A53"/>
    <w:rsid w:val="1296382F"/>
    <w:rsid w:val="12E05166"/>
    <w:rsid w:val="12FD29AC"/>
    <w:rsid w:val="130762C7"/>
    <w:rsid w:val="131577DB"/>
    <w:rsid w:val="133F6421"/>
    <w:rsid w:val="136A013D"/>
    <w:rsid w:val="13853855"/>
    <w:rsid w:val="138C39AA"/>
    <w:rsid w:val="13F029C1"/>
    <w:rsid w:val="14302302"/>
    <w:rsid w:val="143A2567"/>
    <w:rsid w:val="14403A45"/>
    <w:rsid w:val="14494A99"/>
    <w:rsid w:val="14514FE4"/>
    <w:rsid w:val="14A070D7"/>
    <w:rsid w:val="14A82170"/>
    <w:rsid w:val="14D902A4"/>
    <w:rsid w:val="150123CC"/>
    <w:rsid w:val="15406E6B"/>
    <w:rsid w:val="16152D30"/>
    <w:rsid w:val="16355762"/>
    <w:rsid w:val="166B14F7"/>
    <w:rsid w:val="167C0DF1"/>
    <w:rsid w:val="16841A81"/>
    <w:rsid w:val="168E7056"/>
    <w:rsid w:val="16922E00"/>
    <w:rsid w:val="17313B96"/>
    <w:rsid w:val="17401D89"/>
    <w:rsid w:val="176645F2"/>
    <w:rsid w:val="1782289D"/>
    <w:rsid w:val="17A36FEC"/>
    <w:rsid w:val="17B648CC"/>
    <w:rsid w:val="17C80E13"/>
    <w:rsid w:val="17D06220"/>
    <w:rsid w:val="17D15EA0"/>
    <w:rsid w:val="17DD454F"/>
    <w:rsid w:val="17E064BA"/>
    <w:rsid w:val="18001769"/>
    <w:rsid w:val="183A204C"/>
    <w:rsid w:val="18501FF1"/>
    <w:rsid w:val="18583F84"/>
    <w:rsid w:val="185B7434"/>
    <w:rsid w:val="188B43D5"/>
    <w:rsid w:val="188F3A75"/>
    <w:rsid w:val="18934C0E"/>
    <w:rsid w:val="18AB62FA"/>
    <w:rsid w:val="18F83704"/>
    <w:rsid w:val="196A2321"/>
    <w:rsid w:val="197767AB"/>
    <w:rsid w:val="19A32658"/>
    <w:rsid w:val="19B649D2"/>
    <w:rsid w:val="19BC2548"/>
    <w:rsid w:val="1A166C6F"/>
    <w:rsid w:val="1A24187A"/>
    <w:rsid w:val="1A264176"/>
    <w:rsid w:val="1A35698F"/>
    <w:rsid w:val="1A626F8D"/>
    <w:rsid w:val="1A757778"/>
    <w:rsid w:val="1A9B1BB6"/>
    <w:rsid w:val="1AA524C6"/>
    <w:rsid w:val="1AA70824"/>
    <w:rsid w:val="1B1F09DB"/>
    <w:rsid w:val="1B201E0F"/>
    <w:rsid w:val="1B4359F7"/>
    <w:rsid w:val="1B7F1A25"/>
    <w:rsid w:val="1B812F99"/>
    <w:rsid w:val="1BB138FD"/>
    <w:rsid w:val="1BB9458C"/>
    <w:rsid w:val="1BE16D01"/>
    <w:rsid w:val="1BE90D72"/>
    <w:rsid w:val="1BEA4D2A"/>
    <w:rsid w:val="1BF06C65"/>
    <w:rsid w:val="1BF37BE9"/>
    <w:rsid w:val="1C0741F3"/>
    <w:rsid w:val="1C4B0278"/>
    <w:rsid w:val="1C4E6FFE"/>
    <w:rsid w:val="1C542906"/>
    <w:rsid w:val="1C9B70FD"/>
    <w:rsid w:val="1CB366CE"/>
    <w:rsid w:val="1CB3762C"/>
    <w:rsid w:val="1CB966AD"/>
    <w:rsid w:val="1CBE2964"/>
    <w:rsid w:val="1CDA2B95"/>
    <w:rsid w:val="1CDB7EE7"/>
    <w:rsid w:val="1D050D2B"/>
    <w:rsid w:val="1D0D0336"/>
    <w:rsid w:val="1D13631D"/>
    <w:rsid w:val="1D1913BF"/>
    <w:rsid w:val="1D205DE2"/>
    <w:rsid w:val="1E76570A"/>
    <w:rsid w:val="1E9D4933"/>
    <w:rsid w:val="1EB573ED"/>
    <w:rsid w:val="1F0A48F8"/>
    <w:rsid w:val="1F0F4603"/>
    <w:rsid w:val="1F127786"/>
    <w:rsid w:val="1F511C17"/>
    <w:rsid w:val="1FBE3D00"/>
    <w:rsid w:val="1FD00846"/>
    <w:rsid w:val="1FFC34F8"/>
    <w:rsid w:val="201828B7"/>
    <w:rsid w:val="20AC1AA6"/>
    <w:rsid w:val="20AF2A2B"/>
    <w:rsid w:val="20CA48D9"/>
    <w:rsid w:val="20EA3839"/>
    <w:rsid w:val="2107473E"/>
    <w:rsid w:val="211514D5"/>
    <w:rsid w:val="21253F60"/>
    <w:rsid w:val="217472F0"/>
    <w:rsid w:val="21B43B5C"/>
    <w:rsid w:val="21B5570A"/>
    <w:rsid w:val="21B57D5A"/>
    <w:rsid w:val="21BB6D03"/>
    <w:rsid w:val="21C0196E"/>
    <w:rsid w:val="21D22486"/>
    <w:rsid w:val="21ED4759"/>
    <w:rsid w:val="22022EA1"/>
    <w:rsid w:val="222F482F"/>
    <w:rsid w:val="22667B7E"/>
    <w:rsid w:val="22804328"/>
    <w:rsid w:val="228F0D42"/>
    <w:rsid w:val="229D337A"/>
    <w:rsid w:val="22AD4B1E"/>
    <w:rsid w:val="22B07CD1"/>
    <w:rsid w:val="22FA25EF"/>
    <w:rsid w:val="23462A6F"/>
    <w:rsid w:val="23A21061"/>
    <w:rsid w:val="23AA768F"/>
    <w:rsid w:val="23EB55B1"/>
    <w:rsid w:val="24104B78"/>
    <w:rsid w:val="24593831"/>
    <w:rsid w:val="246B4DD0"/>
    <w:rsid w:val="249920BA"/>
    <w:rsid w:val="24CE37EF"/>
    <w:rsid w:val="24D250A8"/>
    <w:rsid w:val="25153752"/>
    <w:rsid w:val="256C23F4"/>
    <w:rsid w:val="25B272E5"/>
    <w:rsid w:val="25ED0053"/>
    <w:rsid w:val="2616700A"/>
    <w:rsid w:val="26590B63"/>
    <w:rsid w:val="265F2C81"/>
    <w:rsid w:val="266E503D"/>
    <w:rsid w:val="268F59CF"/>
    <w:rsid w:val="269A68C3"/>
    <w:rsid w:val="26B741BD"/>
    <w:rsid w:val="26C329A6"/>
    <w:rsid w:val="26E563DD"/>
    <w:rsid w:val="27700484"/>
    <w:rsid w:val="27D22B63"/>
    <w:rsid w:val="280C7EF9"/>
    <w:rsid w:val="287348EA"/>
    <w:rsid w:val="28771E56"/>
    <w:rsid w:val="28A019AF"/>
    <w:rsid w:val="28C27EED"/>
    <w:rsid w:val="28D507D2"/>
    <w:rsid w:val="29114E16"/>
    <w:rsid w:val="291256ED"/>
    <w:rsid w:val="295E3016"/>
    <w:rsid w:val="29844C90"/>
    <w:rsid w:val="29A10297"/>
    <w:rsid w:val="29D25B2C"/>
    <w:rsid w:val="29DA2F38"/>
    <w:rsid w:val="2A1C01A1"/>
    <w:rsid w:val="2A20023A"/>
    <w:rsid w:val="2A462267"/>
    <w:rsid w:val="2A7243B0"/>
    <w:rsid w:val="2A9817DE"/>
    <w:rsid w:val="2AF562F3"/>
    <w:rsid w:val="2B1264B8"/>
    <w:rsid w:val="2B7E4922"/>
    <w:rsid w:val="2BDB638C"/>
    <w:rsid w:val="2CC85B89"/>
    <w:rsid w:val="2CED4AC4"/>
    <w:rsid w:val="2CF462D4"/>
    <w:rsid w:val="2D2E4AE4"/>
    <w:rsid w:val="2D776C27"/>
    <w:rsid w:val="2D98715B"/>
    <w:rsid w:val="2DB12284"/>
    <w:rsid w:val="2E1B2357"/>
    <w:rsid w:val="2E236248"/>
    <w:rsid w:val="2E460579"/>
    <w:rsid w:val="2E4C5FC1"/>
    <w:rsid w:val="2E5F7614"/>
    <w:rsid w:val="2E6220A7"/>
    <w:rsid w:val="2E704C40"/>
    <w:rsid w:val="2E7966F4"/>
    <w:rsid w:val="2E9276CB"/>
    <w:rsid w:val="2EC1175C"/>
    <w:rsid w:val="2EC6434A"/>
    <w:rsid w:val="2EF84F00"/>
    <w:rsid w:val="2F0B154A"/>
    <w:rsid w:val="2F1523C9"/>
    <w:rsid w:val="2F3925CB"/>
    <w:rsid w:val="2F691EAC"/>
    <w:rsid w:val="2F6C023B"/>
    <w:rsid w:val="2FD144CD"/>
    <w:rsid w:val="2FEC1642"/>
    <w:rsid w:val="2FF447ED"/>
    <w:rsid w:val="2FF46FBA"/>
    <w:rsid w:val="302D0419"/>
    <w:rsid w:val="3039422C"/>
    <w:rsid w:val="30881A2C"/>
    <w:rsid w:val="309072D9"/>
    <w:rsid w:val="30946CE0"/>
    <w:rsid w:val="30984245"/>
    <w:rsid w:val="30FA0A66"/>
    <w:rsid w:val="31665B97"/>
    <w:rsid w:val="319A041A"/>
    <w:rsid w:val="31CB333D"/>
    <w:rsid w:val="323F5813"/>
    <w:rsid w:val="324167FF"/>
    <w:rsid w:val="324E3917"/>
    <w:rsid w:val="32591CA8"/>
    <w:rsid w:val="325A0E10"/>
    <w:rsid w:val="327F1EE7"/>
    <w:rsid w:val="327F40E6"/>
    <w:rsid w:val="329556CC"/>
    <w:rsid w:val="32AA6D69"/>
    <w:rsid w:val="334E12BB"/>
    <w:rsid w:val="33704CF3"/>
    <w:rsid w:val="33724973"/>
    <w:rsid w:val="338C39C7"/>
    <w:rsid w:val="33915228"/>
    <w:rsid w:val="33E54BC0"/>
    <w:rsid w:val="33E61880"/>
    <w:rsid w:val="344774F8"/>
    <w:rsid w:val="34630E03"/>
    <w:rsid w:val="34792465"/>
    <w:rsid w:val="348F18C7"/>
    <w:rsid w:val="34976CD4"/>
    <w:rsid w:val="34C65624"/>
    <w:rsid w:val="34EA2624"/>
    <w:rsid w:val="356356DE"/>
    <w:rsid w:val="35E93297"/>
    <w:rsid w:val="361352C6"/>
    <w:rsid w:val="366915FF"/>
    <w:rsid w:val="369D52A1"/>
    <w:rsid w:val="36A003AE"/>
    <w:rsid w:val="36B0715C"/>
    <w:rsid w:val="36B204FD"/>
    <w:rsid w:val="36B47E2C"/>
    <w:rsid w:val="37541156"/>
    <w:rsid w:val="37671D72"/>
    <w:rsid w:val="376E2676"/>
    <w:rsid w:val="377C2FB4"/>
    <w:rsid w:val="379D5A4B"/>
    <w:rsid w:val="37B01EA4"/>
    <w:rsid w:val="37C83693"/>
    <w:rsid w:val="38276F30"/>
    <w:rsid w:val="384F501C"/>
    <w:rsid w:val="388711C6"/>
    <w:rsid w:val="38A46D62"/>
    <w:rsid w:val="38C62DAB"/>
    <w:rsid w:val="38CD76BE"/>
    <w:rsid w:val="38DD34E7"/>
    <w:rsid w:val="38F21E7C"/>
    <w:rsid w:val="38F378FD"/>
    <w:rsid w:val="39255B4E"/>
    <w:rsid w:val="392D67DD"/>
    <w:rsid w:val="39594D23"/>
    <w:rsid w:val="395A4EDE"/>
    <w:rsid w:val="39753526"/>
    <w:rsid w:val="3997040B"/>
    <w:rsid w:val="39BD1500"/>
    <w:rsid w:val="39FC14BE"/>
    <w:rsid w:val="3A394BED"/>
    <w:rsid w:val="3A6D60FC"/>
    <w:rsid w:val="3A7A2BFC"/>
    <w:rsid w:val="3AA008BD"/>
    <w:rsid w:val="3AA23DC1"/>
    <w:rsid w:val="3AB373DF"/>
    <w:rsid w:val="3AB962FE"/>
    <w:rsid w:val="3AE36DA8"/>
    <w:rsid w:val="3AF514A4"/>
    <w:rsid w:val="3B76761C"/>
    <w:rsid w:val="3B9E4F5D"/>
    <w:rsid w:val="3BAB1E44"/>
    <w:rsid w:val="3BF70E6F"/>
    <w:rsid w:val="3BFD221A"/>
    <w:rsid w:val="3C0C5591"/>
    <w:rsid w:val="3C217AB5"/>
    <w:rsid w:val="3C8E3FDE"/>
    <w:rsid w:val="3C9541F0"/>
    <w:rsid w:val="3CF06E89"/>
    <w:rsid w:val="3D12755A"/>
    <w:rsid w:val="3D19224B"/>
    <w:rsid w:val="3D2C126C"/>
    <w:rsid w:val="3D3E2AEA"/>
    <w:rsid w:val="3DBE4F57"/>
    <w:rsid w:val="3DC01F05"/>
    <w:rsid w:val="3DC41242"/>
    <w:rsid w:val="3E3826A3"/>
    <w:rsid w:val="3E425ED6"/>
    <w:rsid w:val="3E74300B"/>
    <w:rsid w:val="3E780CFB"/>
    <w:rsid w:val="3E9277BD"/>
    <w:rsid w:val="3EAF5B65"/>
    <w:rsid w:val="3EC11302"/>
    <w:rsid w:val="3EE20F91"/>
    <w:rsid w:val="3F3E5024"/>
    <w:rsid w:val="3F3F2C71"/>
    <w:rsid w:val="3F690ED5"/>
    <w:rsid w:val="3F8F2C54"/>
    <w:rsid w:val="3F9F2EEF"/>
    <w:rsid w:val="3FA56E51"/>
    <w:rsid w:val="3FBF4E9D"/>
    <w:rsid w:val="3FEF6007"/>
    <w:rsid w:val="402E72DA"/>
    <w:rsid w:val="40410A97"/>
    <w:rsid w:val="40537F9E"/>
    <w:rsid w:val="40726ACA"/>
    <w:rsid w:val="40C81A57"/>
    <w:rsid w:val="40CC5EDF"/>
    <w:rsid w:val="40DE0AEB"/>
    <w:rsid w:val="40FC53A9"/>
    <w:rsid w:val="414B422F"/>
    <w:rsid w:val="418F5EE8"/>
    <w:rsid w:val="41957B26"/>
    <w:rsid w:val="42B82AEA"/>
    <w:rsid w:val="42BE4111"/>
    <w:rsid w:val="42C27294"/>
    <w:rsid w:val="42DD3D25"/>
    <w:rsid w:val="42F4413D"/>
    <w:rsid w:val="43367252"/>
    <w:rsid w:val="43610097"/>
    <w:rsid w:val="43A324A6"/>
    <w:rsid w:val="440525B4"/>
    <w:rsid w:val="440A2AAE"/>
    <w:rsid w:val="440D1834"/>
    <w:rsid w:val="44521D5C"/>
    <w:rsid w:val="44647CC4"/>
    <w:rsid w:val="447A65E5"/>
    <w:rsid w:val="44854976"/>
    <w:rsid w:val="44916576"/>
    <w:rsid w:val="44965D05"/>
    <w:rsid w:val="44B06ABF"/>
    <w:rsid w:val="44B609C8"/>
    <w:rsid w:val="44C65DB0"/>
    <w:rsid w:val="45030AC7"/>
    <w:rsid w:val="452418D5"/>
    <w:rsid w:val="45A715D5"/>
    <w:rsid w:val="45B673B6"/>
    <w:rsid w:val="45ED64C7"/>
    <w:rsid w:val="460F6714"/>
    <w:rsid w:val="469A1E62"/>
    <w:rsid w:val="46A32772"/>
    <w:rsid w:val="46F43360"/>
    <w:rsid w:val="46FF00A1"/>
    <w:rsid w:val="47423575"/>
    <w:rsid w:val="476B50DA"/>
    <w:rsid w:val="477140C4"/>
    <w:rsid w:val="47AF19AB"/>
    <w:rsid w:val="47B04E87"/>
    <w:rsid w:val="47CE30B0"/>
    <w:rsid w:val="47FB1D04"/>
    <w:rsid w:val="48285DF1"/>
    <w:rsid w:val="48480D7B"/>
    <w:rsid w:val="48A439B8"/>
    <w:rsid w:val="48CD0AFD"/>
    <w:rsid w:val="48F77743"/>
    <w:rsid w:val="49516B58"/>
    <w:rsid w:val="49891591"/>
    <w:rsid w:val="499E2424"/>
    <w:rsid w:val="49A40B61"/>
    <w:rsid w:val="4A2A67D6"/>
    <w:rsid w:val="4A5F3A13"/>
    <w:rsid w:val="4A756F9E"/>
    <w:rsid w:val="4AC047B0"/>
    <w:rsid w:val="4B105834"/>
    <w:rsid w:val="4B392280"/>
    <w:rsid w:val="4B4A4715"/>
    <w:rsid w:val="4B58746D"/>
    <w:rsid w:val="4B5936AA"/>
    <w:rsid w:val="4B986A12"/>
    <w:rsid w:val="4B9914E6"/>
    <w:rsid w:val="4BA637A9"/>
    <w:rsid w:val="4C0F7955"/>
    <w:rsid w:val="4C3C7520"/>
    <w:rsid w:val="4C6360CA"/>
    <w:rsid w:val="4C8C7EB0"/>
    <w:rsid w:val="4CCD39DA"/>
    <w:rsid w:val="4D166448"/>
    <w:rsid w:val="4D476295"/>
    <w:rsid w:val="4D665BC0"/>
    <w:rsid w:val="4DA954F8"/>
    <w:rsid w:val="4DC515A5"/>
    <w:rsid w:val="4DF9657C"/>
    <w:rsid w:val="4E005F07"/>
    <w:rsid w:val="4E10507B"/>
    <w:rsid w:val="4E2849BE"/>
    <w:rsid w:val="4E4F1509"/>
    <w:rsid w:val="4E586596"/>
    <w:rsid w:val="4E850579"/>
    <w:rsid w:val="4E870795"/>
    <w:rsid w:val="4EB55A7E"/>
    <w:rsid w:val="4EBB0839"/>
    <w:rsid w:val="4EBC549E"/>
    <w:rsid w:val="4ECE1A58"/>
    <w:rsid w:val="4EF22F11"/>
    <w:rsid w:val="4F0A3E3B"/>
    <w:rsid w:val="4F194455"/>
    <w:rsid w:val="4F423F95"/>
    <w:rsid w:val="4F593BBA"/>
    <w:rsid w:val="4FD35D5D"/>
    <w:rsid w:val="4FF61A78"/>
    <w:rsid w:val="5026588C"/>
    <w:rsid w:val="50715944"/>
    <w:rsid w:val="50D137A7"/>
    <w:rsid w:val="50D51110"/>
    <w:rsid w:val="511D5E24"/>
    <w:rsid w:val="512C2BBC"/>
    <w:rsid w:val="51330E09"/>
    <w:rsid w:val="516A1B23"/>
    <w:rsid w:val="518B776F"/>
    <w:rsid w:val="51AE4B00"/>
    <w:rsid w:val="51CD4943"/>
    <w:rsid w:val="51CE6A39"/>
    <w:rsid w:val="51FC21CB"/>
    <w:rsid w:val="52585F6C"/>
    <w:rsid w:val="525F49A2"/>
    <w:rsid w:val="525F5F47"/>
    <w:rsid w:val="528043E7"/>
    <w:rsid w:val="52C319D8"/>
    <w:rsid w:val="53013A3B"/>
    <w:rsid w:val="531910E2"/>
    <w:rsid w:val="531D336C"/>
    <w:rsid w:val="53331C8C"/>
    <w:rsid w:val="533B37EB"/>
    <w:rsid w:val="534479A8"/>
    <w:rsid w:val="535B2E50"/>
    <w:rsid w:val="538F45A4"/>
    <w:rsid w:val="53975AA6"/>
    <w:rsid w:val="54187EE0"/>
    <w:rsid w:val="54260108"/>
    <w:rsid w:val="542F611C"/>
    <w:rsid w:val="545C0256"/>
    <w:rsid w:val="54646E83"/>
    <w:rsid w:val="54691D09"/>
    <w:rsid w:val="54CD277E"/>
    <w:rsid w:val="54F76A4F"/>
    <w:rsid w:val="550F5D1A"/>
    <w:rsid w:val="55552C0B"/>
    <w:rsid w:val="560162DD"/>
    <w:rsid w:val="56123128"/>
    <w:rsid w:val="564C4279"/>
    <w:rsid w:val="57106764"/>
    <w:rsid w:val="57243206"/>
    <w:rsid w:val="573C2AAB"/>
    <w:rsid w:val="57B97E77"/>
    <w:rsid w:val="57BD2100"/>
    <w:rsid w:val="57C21CA0"/>
    <w:rsid w:val="57E84249"/>
    <w:rsid w:val="580B6742"/>
    <w:rsid w:val="581901D6"/>
    <w:rsid w:val="5821117D"/>
    <w:rsid w:val="5825082B"/>
    <w:rsid w:val="585722FF"/>
    <w:rsid w:val="588025B8"/>
    <w:rsid w:val="58A14202"/>
    <w:rsid w:val="591F64C4"/>
    <w:rsid w:val="59537C18"/>
    <w:rsid w:val="59954610"/>
    <w:rsid w:val="59AC7881"/>
    <w:rsid w:val="59B6573E"/>
    <w:rsid w:val="59E73D0F"/>
    <w:rsid w:val="59F0461E"/>
    <w:rsid w:val="59FD349E"/>
    <w:rsid w:val="5A1A79E1"/>
    <w:rsid w:val="5A250E62"/>
    <w:rsid w:val="5A40568A"/>
    <w:rsid w:val="5A530E40"/>
    <w:rsid w:val="5A746DF6"/>
    <w:rsid w:val="5A7622F9"/>
    <w:rsid w:val="5ABB0785"/>
    <w:rsid w:val="5AC031EC"/>
    <w:rsid w:val="5AE006A3"/>
    <w:rsid w:val="5B0033BF"/>
    <w:rsid w:val="5B037487"/>
    <w:rsid w:val="5B1708CA"/>
    <w:rsid w:val="5B5E04BE"/>
    <w:rsid w:val="5B6D158C"/>
    <w:rsid w:val="5B7E217E"/>
    <w:rsid w:val="5B8646B4"/>
    <w:rsid w:val="5B8A0A45"/>
    <w:rsid w:val="5B9567E7"/>
    <w:rsid w:val="5B9F77DD"/>
    <w:rsid w:val="5BA924BC"/>
    <w:rsid w:val="5BB65403"/>
    <w:rsid w:val="5BB70707"/>
    <w:rsid w:val="5C1A5532"/>
    <w:rsid w:val="5C3E76E6"/>
    <w:rsid w:val="5C401581"/>
    <w:rsid w:val="5C5A1297"/>
    <w:rsid w:val="5C8007CB"/>
    <w:rsid w:val="5CA34E8C"/>
    <w:rsid w:val="5CD84061"/>
    <w:rsid w:val="5CDA23D8"/>
    <w:rsid w:val="5D1C63BF"/>
    <w:rsid w:val="5D4B0B1D"/>
    <w:rsid w:val="5D967917"/>
    <w:rsid w:val="5DC15346"/>
    <w:rsid w:val="5E0C5358"/>
    <w:rsid w:val="5E3E33BB"/>
    <w:rsid w:val="5E4A64C2"/>
    <w:rsid w:val="5E812D98"/>
    <w:rsid w:val="5EEA5E68"/>
    <w:rsid w:val="5EEE5A1F"/>
    <w:rsid w:val="5EEF4522"/>
    <w:rsid w:val="5F487798"/>
    <w:rsid w:val="5FA62EFB"/>
    <w:rsid w:val="5FC447CC"/>
    <w:rsid w:val="5FF02075"/>
    <w:rsid w:val="6039164C"/>
    <w:rsid w:val="604B787F"/>
    <w:rsid w:val="604E5831"/>
    <w:rsid w:val="60761F4E"/>
    <w:rsid w:val="607C6C90"/>
    <w:rsid w:val="60AD7EAA"/>
    <w:rsid w:val="60B00E2F"/>
    <w:rsid w:val="60BD7318"/>
    <w:rsid w:val="60D809DC"/>
    <w:rsid w:val="60ED4CE0"/>
    <w:rsid w:val="61254671"/>
    <w:rsid w:val="6149320C"/>
    <w:rsid w:val="61514C05"/>
    <w:rsid w:val="61564E40"/>
    <w:rsid w:val="616544D6"/>
    <w:rsid w:val="619736AB"/>
    <w:rsid w:val="61B37758"/>
    <w:rsid w:val="61E437AA"/>
    <w:rsid w:val="61FC4B9F"/>
    <w:rsid w:val="620671E2"/>
    <w:rsid w:val="62095065"/>
    <w:rsid w:val="621456D4"/>
    <w:rsid w:val="6215383C"/>
    <w:rsid w:val="621E6E07"/>
    <w:rsid w:val="6237108C"/>
    <w:rsid w:val="62411A4D"/>
    <w:rsid w:val="62720A8F"/>
    <w:rsid w:val="62896B4B"/>
    <w:rsid w:val="62F15FFA"/>
    <w:rsid w:val="62FC7801"/>
    <w:rsid w:val="6306451B"/>
    <w:rsid w:val="630B100E"/>
    <w:rsid w:val="63554905"/>
    <w:rsid w:val="6377033D"/>
    <w:rsid w:val="63A21181"/>
    <w:rsid w:val="63AA5B72"/>
    <w:rsid w:val="63E71DAF"/>
    <w:rsid w:val="63EA4DF9"/>
    <w:rsid w:val="640102A1"/>
    <w:rsid w:val="643903FB"/>
    <w:rsid w:val="644D291F"/>
    <w:rsid w:val="645F2884"/>
    <w:rsid w:val="64875F7C"/>
    <w:rsid w:val="64D7377C"/>
    <w:rsid w:val="64E6591D"/>
    <w:rsid w:val="64EA021F"/>
    <w:rsid w:val="64F10308"/>
    <w:rsid w:val="65066432"/>
    <w:rsid w:val="6541007D"/>
    <w:rsid w:val="65801643"/>
    <w:rsid w:val="65D00F9F"/>
    <w:rsid w:val="65EF4249"/>
    <w:rsid w:val="65FA7D07"/>
    <w:rsid w:val="66644208"/>
    <w:rsid w:val="666C1244"/>
    <w:rsid w:val="66C537B1"/>
    <w:rsid w:val="66F275EF"/>
    <w:rsid w:val="675E5725"/>
    <w:rsid w:val="67714745"/>
    <w:rsid w:val="67A11BB0"/>
    <w:rsid w:val="67C25F42"/>
    <w:rsid w:val="67E33780"/>
    <w:rsid w:val="67E62186"/>
    <w:rsid w:val="67FB68A8"/>
    <w:rsid w:val="68083E36"/>
    <w:rsid w:val="681151C8"/>
    <w:rsid w:val="68244A56"/>
    <w:rsid w:val="683D2B94"/>
    <w:rsid w:val="68806B01"/>
    <w:rsid w:val="68814582"/>
    <w:rsid w:val="68C73130"/>
    <w:rsid w:val="68D31CD7"/>
    <w:rsid w:val="68E8522C"/>
    <w:rsid w:val="69220889"/>
    <w:rsid w:val="69347EEF"/>
    <w:rsid w:val="693E784B"/>
    <w:rsid w:val="694B0D14"/>
    <w:rsid w:val="69841670"/>
    <w:rsid w:val="699D5FD4"/>
    <w:rsid w:val="69EA1B19"/>
    <w:rsid w:val="69F34AD9"/>
    <w:rsid w:val="69F66377"/>
    <w:rsid w:val="6A0709F6"/>
    <w:rsid w:val="6A235B23"/>
    <w:rsid w:val="6A2D7FEB"/>
    <w:rsid w:val="6A7D3581"/>
    <w:rsid w:val="6A8B44EF"/>
    <w:rsid w:val="6ADC30DD"/>
    <w:rsid w:val="6B320DB0"/>
    <w:rsid w:val="6B35259C"/>
    <w:rsid w:val="6B747DD8"/>
    <w:rsid w:val="6B7E5F10"/>
    <w:rsid w:val="6BAB5D34"/>
    <w:rsid w:val="6BCD756D"/>
    <w:rsid w:val="6BF02FA5"/>
    <w:rsid w:val="6C3A079D"/>
    <w:rsid w:val="6C4D7FAA"/>
    <w:rsid w:val="6C62678B"/>
    <w:rsid w:val="6C635C7F"/>
    <w:rsid w:val="6C6509E5"/>
    <w:rsid w:val="6C737CFB"/>
    <w:rsid w:val="6CA9147F"/>
    <w:rsid w:val="6CB32CE3"/>
    <w:rsid w:val="6CB53059"/>
    <w:rsid w:val="6CC70A14"/>
    <w:rsid w:val="6CC83FFB"/>
    <w:rsid w:val="6CFA3457"/>
    <w:rsid w:val="6D095C70"/>
    <w:rsid w:val="6D164F86"/>
    <w:rsid w:val="6D3F0A65"/>
    <w:rsid w:val="6D5B67B3"/>
    <w:rsid w:val="6D673A8B"/>
    <w:rsid w:val="6D7768F5"/>
    <w:rsid w:val="6D8E6FF3"/>
    <w:rsid w:val="6D920153"/>
    <w:rsid w:val="6DC7055D"/>
    <w:rsid w:val="6DE05CD4"/>
    <w:rsid w:val="6E07204B"/>
    <w:rsid w:val="6E0D7A9C"/>
    <w:rsid w:val="6E0F108F"/>
    <w:rsid w:val="6E1B6692"/>
    <w:rsid w:val="6E2C0D1C"/>
    <w:rsid w:val="6E6D5537"/>
    <w:rsid w:val="6EAB7730"/>
    <w:rsid w:val="6EAC1993"/>
    <w:rsid w:val="6EEF260E"/>
    <w:rsid w:val="6F051C78"/>
    <w:rsid w:val="6F0A0C39"/>
    <w:rsid w:val="6F0D3D18"/>
    <w:rsid w:val="6F113E47"/>
    <w:rsid w:val="6F321DFD"/>
    <w:rsid w:val="6F6B3C9A"/>
    <w:rsid w:val="6F7E6BF3"/>
    <w:rsid w:val="6F8F0A42"/>
    <w:rsid w:val="6F9A7535"/>
    <w:rsid w:val="6F9E663D"/>
    <w:rsid w:val="6FB81D8C"/>
    <w:rsid w:val="6FC02D7B"/>
    <w:rsid w:val="6FCA1077"/>
    <w:rsid w:val="6FDC4FAB"/>
    <w:rsid w:val="70350646"/>
    <w:rsid w:val="705A1860"/>
    <w:rsid w:val="70AA6167"/>
    <w:rsid w:val="70C85717"/>
    <w:rsid w:val="70CA297B"/>
    <w:rsid w:val="70DF00D5"/>
    <w:rsid w:val="710566D4"/>
    <w:rsid w:val="711D01AF"/>
    <w:rsid w:val="714125CE"/>
    <w:rsid w:val="714D5970"/>
    <w:rsid w:val="71AA5D09"/>
    <w:rsid w:val="723B0A83"/>
    <w:rsid w:val="72496B0C"/>
    <w:rsid w:val="724C2596"/>
    <w:rsid w:val="72645138"/>
    <w:rsid w:val="726B6A07"/>
    <w:rsid w:val="72966C0C"/>
    <w:rsid w:val="72AA78EE"/>
    <w:rsid w:val="72CF7EB2"/>
    <w:rsid w:val="72D05BB3"/>
    <w:rsid w:val="730B464C"/>
    <w:rsid w:val="7333450C"/>
    <w:rsid w:val="73383119"/>
    <w:rsid w:val="73946B2F"/>
    <w:rsid w:val="73A02274"/>
    <w:rsid w:val="73E301B0"/>
    <w:rsid w:val="740C6427"/>
    <w:rsid w:val="74327CB2"/>
    <w:rsid w:val="74447BCC"/>
    <w:rsid w:val="74637B4E"/>
    <w:rsid w:val="749548B7"/>
    <w:rsid w:val="74977656"/>
    <w:rsid w:val="75017A26"/>
    <w:rsid w:val="750C5FE0"/>
    <w:rsid w:val="7554328C"/>
    <w:rsid w:val="755521A4"/>
    <w:rsid w:val="755A5196"/>
    <w:rsid w:val="756E245D"/>
    <w:rsid w:val="757302BE"/>
    <w:rsid w:val="757F7954"/>
    <w:rsid w:val="758827E2"/>
    <w:rsid w:val="760652AE"/>
    <w:rsid w:val="7629236B"/>
    <w:rsid w:val="766D1B33"/>
    <w:rsid w:val="766F145A"/>
    <w:rsid w:val="767C11C1"/>
    <w:rsid w:val="76895272"/>
    <w:rsid w:val="76A92336"/>
    <w:rsid w:val="76C137E3"/>
    <w:rsid w:val="76C8536C"/>
    <w:rsid w:val="76F352B7"/>
    <w:rsid w:val="76FC7EDD"/>
    <w:rsid w:val="770D005F"/>
    <w:rsid w:val="77445FBB"/>
    <w:rsid w:val="775E4966"/>
    <w:rsid w:val="778E18B2"/>
    <w:rsid w:val="77C86594"/>
    <w:rsid w:val="77CD6E56"/>
    <w:rsid w:val="77FD7967"/>
    <w:rsid w:val="781F771E"/>
    <w:rsid w:val="78331C39"/>
    <w:rsid w:val="784B36E8"/>
    <w:rsid w:val="789C06B1"/>
    <w:rsid w:val="78B54F18"/>
    <w:rsid w:val="7907369D"/>
    <w:rsid w:val="7946222B"/>
    <w:rsid w:val="795D7522"/>
    <w:rsid w:val="79813367"/>
    <w:rsid w:val="79F16E9E"/>
    <w:rsid w:val="7A024BBA"/>
    <w:rsid w:val="7A556BC2"/>
    <w:rsid w:val="7A5F16D0"/>
    <w:rsid w:val="7A6014EF"/>
    <w:rsid w:val="7A7E1A10"/>
    <w:rsid w:val="7AD926AB"/>
    <w:rsid w:val="7B194382"/>
    <w:rsid w:val="7B3A4874"/>
    <w:rsid w:val="7B3B25D2"/>
    <w:rsid w:val="7B6C0D3F"/>
    <w:rsid w:val="7B6D7D84"/>
    <w:rsid w:val="7B785A20"/>
    <w:rsid w:val="7B9047F2"/>
    <w:rsid w:val="7BA34762"/>
    <w:rsid w:val="7BDA2241"/>
    <w:rsid w:val="7C214BB4"/>
    <w:rsid w:val="7C732C1C"/>
    <w:rsid w:val="7CC20E91"/>
    <w:rsid w:val="7CD44657"/>
    <w:rsid w:val="7D0151A6"/>
    <w:rsid w:val="7D276660"/>
    <w:rsid w:val="7D6F22D8"/>
    <w:rsid w:val="7D79646A"/>
    <w:rsid w:val="7D8E6B9B"/>
    <w:rsid w:val="7D9C4D11"/>
    <w:rsid w:val="7DE22A43"/>
    <w:rsid w:val="7E256583"/>
    <w:rsid w:val="7E410432"/>
    <w:rsid w:val="7E4932C0"/>
    <w:rsid w:val="7E9306E3"/>
    <w:rsid w:val="7EC5392C"/>
    <w:rsid w:val="7EC7030B"/>
    <w:rsid w:val="7F8454DE"/>
    <w:rsid w:val="7FAA765F"/>
    <w:rsid w:val="7FCC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9"/>
    <w:pPr>
      <w:autoSpaceDE w:val="0"/>
      <w:autoSpaceDN w:val="0"/>
      <w:adjustRightInd w:val="0"/>
      <w:spacing w:line="360" w:lineRule="auto"/>
      <w:jc w:val="center"/>
      <w:outlineLvl w:val="1"/>
    </w:pPr>
    <w:rPr>
      <w:rFonts w:ascii="宋体" w:hAnsi="宋体" w:eastAsia="宋体"/>
      <w:b/>
      <w:color w:val="000000"/>
      <w:kern w:val="0"/>
      <w:sz w:val="30"/>
      <w:szCs w:val="20"/>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Body Text Indent"/>
    <w:basedOn w:val="1"/>
    <w:next w:val="1"/>
    <w:qFormat/>
    <w:uiPriority w:val="0"/>
    <w:pPr>
      <w:ind w:left="1960" w:hanging="1960" w:hangingChars="700"/>
    </w:pPr>
    <w:rPr>
      <w:rFonts w:ascii="Times New Roman" w:hAnsi="Times New Roman" w:eastAsia="宋体" w:cs="Times New Roman"/>
      <w:sz w:val="28"/>
    </w:rPr>
  </w:style>
  <w:style w:type="paragraph" w:styleId="5">
    <w:name w:val="Normal Indent"/>
    <w:basedOn w:val="1"/>
    <w:next w:val="1"/>
    <w:qFormat/>
    <w:uiPriority w:val="0"/>
    <w:pPr>
      <w:ind w:firstLine="420" w:firstLineChars="200"/>
    </w:pPr>
    <w:rPr>
      <w:kern w:val="0"/>
      <w:sz w:val="20"/>
      <w:szCs w:val="21"/>
    </w:rPr>
  </w:style>
  <w:style w:type="paragraph" w:styleId="6">
    <w:name w:val="annotation text"/>
    <w:basedOn w:val="1"/>
    <w:semiHidden/>
    <w:unhideWhenUsed/>
    <w:qFormat/>
    <w:uiPriority w:val="99"/>
    <w:pPr>
      <w:jc w:val="left"/>
    </w:pPr>
  </w:style>
  <w:style w:type="paragraph" w:styleId="7">
    <w:name w:val="Body Text"/>
    <w:basedOn w:val="1"/>
    <w:next w:val="8"/>
    <w:unhideWhenUsed/>
    <w:qFormat/>
    <w:uiPriority w:val="0"/>
    <w:pPr>
      <w:spacing w:after="120"/>
    </w:pPr>
  </w:style>
  <w:style w:type="paragraph" w:styleId="8">
    <w:name w:val="Body Text 2"/>
    <w:basedOn w:val="1"/>
    <w:qFormat/>
    <w:uiPriority w:val="0"/>
    <w:pPr>
      <w:jc w:val="center"/>
    </w:pPr>
  </w:style>
  <w:style w:type="paragraph" w:styleId="9">
    <w:name w:val="Plain Text"/>
    <w:basedOn w:val="1"/>
    <w:unhideWhenUsed/>
    <w:qFormat/>
    <w:uiPriority w:val="99"/>
    <w:rPr>
      <w:rFonts w:ascii="Cambria" w:hAnsi="Cambria"/>
      <w:b/>
      <w:bCs/>
      <w:kern w:val="28"/>
      <w:sz w:val="32"/>
      <w:szCs w:val="32"/>
    </w:rPr>
  </w:style>
  <w:style w:type="paragraph" w:styleId="10">
    <w:name w:val="endnote text"/>
    <w:basedOn w:val="1"/>
    <w:qFormat/>
    <w:uiPriority w:val="0"/>
    <w:pPr>
      <w:snapToGrid w:val="0"/>
      <w:jc w:val="left"/>
    </w:pPr>
    <w:rPr>
      <w:rFonts w:ascii="Calibri" w:hAnsi="Calibri" w:eastAsia="宋体" w:cs="Calibri"/>
      <w:sz w:val="18"/>
      <w:szCs w:val="18"/>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List"/>
    <w:basedOn w:val="1"/>
    <w:qFormat/>
    <w:uiPriority w:val="99"/>
    <w:pPr>
      <w:ind w:left="200" w:hanging="200" w:hanging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7"/>
    <w:qFormat/>
    <w:uiPriority w:val="0"/>
    <w:pPr>
      <w:spacing w:beforeLines="25" w:afterLines="25" w:line="0" w:lineRule="atLeast"/>
      <w:ind w:firstLine="420" w:firstLineChars="100"/>
    </w:pPr>
    <w:rPr>
      <w:rFonts w:ascii="Courier New" w:hAnsi="Courier New"/>
      <w:kern w:val="0"/>
      <w:szCs w:val="20"/>
    </w:rPr>
  </w:style>
  <w:style w:type="paragraph" w:styleId="17">
    <w:name w:val="Body Text First Indent 2"/>
    <w:basedOn w:val="2"/>
    <w:next w:val="1"/>
    <w:unhideWhenUsed/>
    <w:qFormat/>
    <w:uiPriority w:val="0"/>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FollowedHyperlink"/>
    <w:basedOn w:val="20"/>
    <w:semiHidden/>
    <w:unhideWhenUsed/>
    <w:qFormat/>
    <w:uiPriority w:val="99"/>
    <w:rPr>
      <w:color w:val="296FBE"/>
      <w:u w:val="none"/>
    </w:rPr>
  </w:style>
  <w:style w:type="character" w:styleId="23">
    <w:name w:val="HTML Definition"/>
    <w:basedOn w:val="20"/>
    <w:semiHidden/>
    <w:unhideWhenUsed/>
    <w:qFormat/>
    <w:uiPriority w:val="99"/>
  </w:style>
  <w:style w:type="character" w:styleId="24">
    <w:name w:val="HTML Variable"/>
    <w:basedOn w:val="20"/>
    <w:semiHidden/>
    <w:unhideWhenUsed/>
    <w:qFormat/>
    <w:uiPriority w:val="99"/>
  </w:style>
  <w:style w:type="character" w:styleId="25">
    <w:name w:val="Hyperlink"/>
    <w:basedOn w:val="20"/>
    <w:semiHidden/>
    <w:unhideWhenUsed/>
    <w:qFormat/>
    <w:uiPriority w:val="99"/>
    <w:rPr>
      <w:color w:val="296FBE"/>
      <w:u w:val="none"/>
    </w:rPr>
  </w:style>
  <w:style w:type="character" w:styleId="26">
    <w:name w:val="HTML Code"/>
    <w:basedOn w:val="20"/>
    <w:semiHidden/>
    <w:unhideWhenUsed/>
    <w:qFormat/>
    <w:uiPriority w:val="99"/>
    <w:rPr>
      <w:rFonts w:ascii="微软雅黑" w:hAnsi="微软雅黑" w:eastAsia="微软雅黑" w:cs="微软雅黑"/>
      <w:sz w:val="20"/>
    </w:rPr>
  </w:style>
  <w:style w:type="character" w:styleId="27">
    <w:name w:val="HTML Cite"/>
    <w:basedOn w:val="20"/>
    <w:semiHidden/>
    <w:unhideWhenUsed/>
    <w:qFormat/>
    <w:uiPriority w:val="99"/>
  </w:style>
  <w:style w:type="character" w:customStyle="1" w:styleId="28">
    <w:name w:val="页眉 Char"/>
    <w:basedOn w:val="20"/>
    <w:link w:val="12"/>
    <w:qFormat/>
    <w:uiPriority w:val="99"/>
    <w:rPr>
      <w:sz w:val="18"/>
      <w:szCs w:val="18"/>
    </w:rPr>
  </w:style>
  <w:style w:type="character" w:customStyle="1" w:styleId="29">
    <w:name w:val="页脚 Char"/>
    <w:basedOn w:val="20"/>
    <w:link w:val="11"/>
    <w:qFormat/>
    <w:uiPriority w:val="99"/>
    <w:rPr>
      <w:sz w:val="18"/>
      <w:szCs w:val="18"/>
    </w:rPr>
  </w:style>
  <w:style w:type="character" w:customStyle="1" w:styleId="30">
    <w:name w:val="font61"/>
    <w:basedOn w:val="20"/>
    <w:qFormat/>
    <w:uiPriority w:val="0"/>
    <w:rPr>
      <w:rFonts w:hint="eastAsia" w:ascii="宋体" w:hAnsi="宋体" w:eastAsia="宋体" w:cs="宋体"/>
      <w:color w:val="000000"/>
      <w:sz w:val="24"/>
      <w:szCs w:val="24"/>
      <w:u w:val="single"/>
    </w:rPr>
  </w:style>
  <w:style w:type="character" w:customStyle="1" w:styleId="31">
    <w:name w:val="font21"/>
    <w:basedOn w:val="20"/>
    <w:qFormat/>
    <w:uiPriority w:val="0"/>
    <w:rPr>
      <w:rFonts w:hint="eastAsia" w:ascii="宋体" w:hAnsi="宋体" w:eastAsia="宋体" w:cs="宋体"/>
      <w:color w:val="000000"/>
      <w:sz w:val="24"/>
      <w:szCs w:val="24"/>
      <w:u w:val="none"/>
    </w:rPr>
  </w:style>
  <w:style w:type="character" w:customStyle="1" w:styleId="32">
    <w:name w:val="font01"/>
    <w:basedOn w:val="20"/>
    <w:qFormat/>
    <w:uiPriority w:val="0"/>
    <w:rPr>
      <w:rFonts w:hint="eastAsia" w:ascii="宋体" w:hAnsi="宋体" w:eastAsia="宋体" w:cs="宋体"/>
      <w:color w:val="000000"/>
      <w:sz w:val="24"/>
      <w:szCs w:val="24"/>
      <w:u w:val="single"/>
    </w:rPr>
  </w:style>
  <w:style w:type="character" w:customStyle="1" w:styleId="33">
    <w:name w:val="font11"/>
    <w:basedOn w:val="20"/>
    <w:qFormat/>
    <w:uiPriority w:val="0"/>
    <w:rPr>
      <w:rFonts w:hint="eastAsia" w:ascii="宋体" w:hAnsi="宋体" w:eastAsia="宋体" w:cs="宋体"/>
      <w:color w:val="000000"/>
      <w:sz w:val="24"/>
      <w:szCs w:val="24"/>
      <w:u w:val="none"/>
    </w:rPr>
  </w:style>
  <w:style w:type="paragraph" w:customStyle="1" w:styleId="34">
    <w:name w:val="样式1"/>
    <w:basedOn w:val="12"/>
    <w:qFormat/>
    <w:uiPriority w:val="0"/>
    <w:pPr>
      <w:pBdr>
        <w:bottom w:val="none" w:color="auto" w:sz="0" w:space="0"/>
      </w:pBdr>
      <w:jc w:val="both"/>
    </w:pPr>
    <w:rPr>
      <w:sz w:val="24"/>
    </w:rPr>
  </w:style>
  <w:style w:type="paragraph" w:customStyle="1" w:styleId="35">
    <w:name w:val="列出段落1"/>
    <w:basedOn w:val="1"/>
    <w:qFormat/>
    <w:uiPriority w:val="34"/>
    <w:pPr>
      <w:ind w:firstLine="420" w:firstLineChars="200"/>
    </w:pPr>
    <w:rPr>
      <w:rFonts w:ascii="Calibri" w:hAnsi="Calibri"/>
      <w:sz w:val="24"/>
      <w:szCs w:val="22"/>
    </w:rPr>
  </w:style>
  <w:style w:type="table" w:customStyle="1" w:styleId="36">
    <w:name w:val="Table Normal"/>
    <w:semiHidden/>
    <w:unhideWhenUsed/>
    <w:qFormat/>
    <w:uiPriority w:val="0"/>
    <w:tblPr>
      <w:tblCellMar>
        <w:top w:w="0" w:type="dxa"/>
        <w:left w:w="0" w:type="dxa"/>
        <w:bottom w:w="0" w:type="dxa"/>
        <w:right w:w="0" w:type="dxa"/>
      </w:tblCellMar>
    </w:tblPr>
  </w:style>
  <w:style w:type="character" w:customStyle="1" w:styleId="37">
    <w:name w:val="font51"/>
    <w:basedOn w:val="20"/>
    <w:qFormat/>
    <w:uiPriority w:val="0"/>
    <w:rPr>
      <w:rFonts w:hint="eastAsia" w:ascii="宋体" w:hAnsi="宋体" w:eastAsia="宋体" w:cs="宋体"/>
      <w:color w:val="000000"/>
      <w:sz w:val="24"/>
      <w:szCs w:val="24"/>
      <w:u w:val="none"/>
    </w:rPr>
  </w:style>
  <w:style w:type="character" w:customStyle="1" w:styleId="38">
    <w:name w:val="font31"/>
    <w:basedOn w:val="20"/>
    <w:qFormat/>
    <w:uiPriority w:val="0"/>
    <w:rPr>
      <w:rFonts w:hint="eastAsia" w:ascii="宋体" w:hAnsi="宋体" w:eastAsia="宋体" w:cs="宋体"/>
      <w:color w:val="000000"/>
      <w:sz w:val="20"/>
      <w:szCs w:val="20"/>
      <w:u w:val="none"/>
    </w:rPr>
  </w:style>
  <w:style w:type="character" w:customStyle="1" w:styleId="39">
    <w:name w:val="moreaction32"/>
    <w:basedOn w:val="20"/>
    <w:qFormat/>
    <w:uiPriority w:val="0"/>
  </w:style>
  <w:style w:type="character" w:customStyle="1" w:styleId="40">
    <w:name w:val="layui-layer-tabnow"/>
    <w:basedOn w:val="20"/>
    <w:qFormat/>
    <w:uiPriority w:val="0"/>
    <w:rPr>
      <w:bdr w:val="single" w:color="CCCCCC" w:sz="6" w:space="0"/>
      <w:shd w:val="clear" w:fill="FFFFFF"/>
    </w:rPr>
  </w:style>
  <w:style w:type="character" w:customStyle="1" w:styleId="41">
    <w:name w:val="color_gray3"/>
    <w:basedOn w:val="20"/>
    <w:qFormat/>
    <w:uiPriority w:val="0"/>
    <w:rPr>
      <w:color w:val="999999"/>
    </w:rPr>
  </w:style>
  <w:style w:type="character" w:customStyle="1" w:styleId="42">
    <w:name w:val="drapbtn"/>
    <w:basedOn w:val="20"/>
    <w:qFormat/>
    <w:uiPriority w:val="0"/>
  </w:style>
  <w:style w:type="character" w:customStyle="1" w:styleId="43">
    <w:name w:val="first-child"/>
    <w:basedOn w:val="20"/>
    <w:qFormat/>
    <w:uiPriority w:val="0"/>
  </w:style>
  <w:style w:type="character" w:customStyle="1" w:styleId="44">
    <w:name w:val="viewscale"/>
    <w:basedOn w:val="20"/>
    <w:qFormat/>
    <w:uiPriority w:val="0"/>
    <w:rPr>
      <w:color w:val="FFFFFF"/>
      <w:sz w:val="24"/>
      <w:szCs w:val="24"/>
    </w:rPr>
  </w:style>
  <w:style w:type="character" w:customStyle="1" w:styleId="45">
    <w:name w:val="estimate_gray"/>
    <w:basedOn w:val="20"/>
    <w:qFormat/>
    <w:uiPriority w:val="0"/>
  </w:style>
  <w:style w:type="character" w:customStyle="1" w:styleId="46">
    <w:name w:val="estimate_gray1"/>
    <w:basedOn w:val="20"/>
    <w:qFormat/>
    <w:uiPriority w:val="0"/>
    <w:rPr>
      <w:color w:val="FFFFFF"/>
    </w:rPr>
  </w:style>
  <w:style w:type="character" w:customStyle="1" w:styleId="47">
    <w:name w:val="ico1657"/>
    <w:basedOn w:val="20"/>
    <w:qFormat/>
    <w:uiPriority w:val="0"/>
  </w:style>
  <w:style w:type="character" w:customStyle="1" w:styleId="48">
    <w:name w:val="after"/>
    <w:basedOn w:val="20"/>
    <w:qFormat/>
    <w:uiPriority w:val="0"/>
    <w:rPr>
      <w:sz w:val="0"/>
      <w:szCs w:val="0"/>
    </w:rPr>
  </w:style>
  <w:style w:type="character" w:customStyle="1" w:styleId="49">
    <w:name w:val="cy"/>
    <w:basedOn w:val="20"/>
    <w:qFormat/>
    <w:uiPriority w:val="0"/>
  </w:style>
  <w:style w:type="character" w:customStyle="1" w:styleId="50">
    <w:name w:val="hilite"/>
    <w:basedOn w:val="20"/>
    <w:qFormat/>
    <w:uiPriority w:val="0"/>
    <w:rPr>
      <w:color w:val="FFFFFF"/>
      <w:shd w:val="clear" w:fill="666666"/>
    </w:rPr>
  </w:style>
  <w:style w:type="character" w:customStyle="1" w:styleId="51">
    <w:name w:val="icontext2"/>
    <w:basedOn w:val="20"/>
    <w:qFormat/>
    <w:uiPriority w:val="0"/>
  </w:style>
  <w:style w:type="character" w:customStyle="1" w:styleId="52">
    <w:name w:val="button"/>
    <w:basedOn w:val="20"/>
    <w:qFormat/>
    <w:uiPriority w:val="0"/>
  </w:style>
  <w:style w:type="character" w:customStyle="1" w:styleId="53">
    <w:name w:val="xdrichtextbox"/>
    <w:basedOn w:val="20"/>
    <w:qFormat/>
    <w:uiPriority w:val="0"/>
    <w:rPr>
      <w:color w:val="auto"/>
      <w:sz w:val="18"/>
      <w:szCs w:val="18"/>
      <w:u w:val="none"/>
      <w:bdr w:val="single" w:color="DCDCDC" w:sz="8" w:space="0"/>
      <w:shd w:val="clear" w:fill="auto"/>
    </w:rPr>
  </w:style>
  <w:style w:type="character" w:customStyle="1" w:styleId="54">
    <w:name w:val="cdropleft"/>
    <w:basedOn w:val="20"/>
    <w:qFormat/>
    <w:uiPriority w:val="0"/>
  </w:style>
  <w:style w:type="character" w:customStyle="1" w:styleId="55">
    <w:name w:val="icontext1"/>
    <w:basedOn w:val="20"/>
    <w:qFormat/>
    <w:uiPriority w:val="0"/>
  </w:style>
  <w:style w:type="character" w:customStyle="1" w:styleId="56">
    <w:name w:val="icontext11"/>
    <w:basedOn w:val="20"/>
    <w:qFormat/>
    <w:uiPriority w:val="0"/>
  </w:style>
  <w:style w:type="character" w:customStyle="1" w:styleId="57">
    <w:name w:val="icontext12"/>
    <w:basedOn w:val="20"/>
    <w:qFormat/>
    <w:uiPriority w:val="0"/>
  </w:style>
  <w:style w:type="character" w:customStyle="1" w:styleId="58">
    <w:name w:val="iconline2"/>
    <w:basedOn w:val="20"/>
    <w:qFormat/>
    <w:uiPriority w:val="0"/>
  </w:style>
  <w:style w:type="character" w:customStyle="1" w:styleId="59">
    <w:name w:val="iconline21"/>
    <w:basedOn w:val="20"/>
    <w:qFormat/>
    <w:uiPriority w:val="0"/>
  </w:style>
  <w:style w:type="character" w:customStyle="1" w:styleId="60">
    <w:name w:val="icontext3"/>
    <w:basedOn w:val="20"/>
    <w:qFormat/>
    <w:uiPriority w:val="0"/>
  </w:style>
  <w:style w:type="character" w:customStyle="1" w:styleId="61">
    <w:name w:val="liked_gray"/>
    <w:basedOn w:val="20"/>
    <w:qFormat/>
    <w:uiPriority w:val="0"/>
    <w:rPr>
      <w:color w:val="FFFFFF"/>
    </w:rPr>
  </w:style>
  <w:style w:type="character" w:customStyle="1" w:styleId="62">
    <w:name w:val="design_class"/>
    <w:basedOn w:val="20"/>
    <w:qFormat/>
    <w:uiPriority w:val="0"/>
  </w:style>
  <w:style w:type="character" w:customStyle="1" w:styleId="63">
    <w:name w:val="choosename"/>
    <w:basedOn w:val="20"/>
    <w:qFormat/>
    <w:uiPriority w:val="0"/>
  </w:style>
  <w:style w:type="character" w:customStyle="1" w:styleId="64">
    <w:name w:val="tmpztreemove_arrow"/>
    <w:basedOn w:val="20"/>
    <w:qFormat/>
    <w:uiPriority w:val="0"/>
  </w:style>
  <w:style w:type="character" w:customStyle="1" w:styleId="65">
    <w:name w:val="cdropright"/>
    <w:basedOn w:val="20"/>
    <w:qFormat/>
    <w:uiPriority w:val="0"/>
  </w:style>
  <w:style w:type="character" w:customStyle="1" w:styleId="66">
    <w:name w:val="pagechatarealistclose_box"/>
    <w:basedOn w:val="20"/>
    <w:qFormat/>
    <w:uiPriority w:val="0"/>
  </w:style>
  <w:style w:type="character" w:customStyle="1" w:styleId="67">
    <w:name w:val="pagechatarealistclose_box1"/>
    <w:basedOn w:val="20"/>
    <w:qFormat/>
    <w:uiPriority w:val="0"/>
  </w:style>
  <w:style w:type="character" w:customStyle="1" w:styleId="68">
    <w:name w:val="active6"/>
    <w:basedOn w:val="20"/>
    <w:qFormat/>
    <w:uiPriority w:val="0"/>
    <w:rPr>
      <w:color w:val="00FF00"/>
      <w:shd w:val="clear" w:fill="111111"/>
    </w:rPr>
  </w:style>
  <w:style w:type="character" w:customStyle="1" w:styleId="69">
    <w:name w:val="w32"/>
    <w:basedOn w:val="20"/>
    <w:qFormat/>
    <w:uiPriority w:val="0"/>
  </w:style>
  <w:style w:type="character" w:customStyle="1" w:styleId="70">
    <w:name w:val="edit_class"/>
    <w:basedOn w:val="20"/>
    <w:qFormat/>
    <w:uiPriority w:val="0"/>
  </w:style>
  <w:style w:type="character" w:customStyle="1" w:styleId="71">
    <w:name w:val="last-child"/>
    <w:basedOn w:val="20"/>
    <w:qFormat/>
    <w:uiPriority w:val="0"/>
  </w:style>
  <w:style w:type="character" w:customStyle="1" w:styleId="72">
    <w:name w:val="browse_class&gt;span"/>
    <w:basedOn w:val="20"/>
    <w:qFormat/>
    <w:uiPriority w:val="0"/>
  </w:style>
  <w:style w:type="character" w:customStyle="1" w:styleId="73">
    <w:name w:val="hover48"/>
    <w:basedOn w:val="20"/>
    <w:qFormat/>
    <w:uiPriority w:val="0"/>
    <w:rPr>
      <w:color w:val="FFFFFF"/>
    </w:rPr>
  </w:style>
  <w:style w:type="character" w:customStyle="1" w:styleId="74">
    <w:name w:val="biggerthanmax"/>
    <w:basedOn w:val="20"/>
    <w:qFormat/>
    <w:uiPriority w:val="0"/>
    <w:rPr>
      <w:shd w:val="clear" w:fill="FFFF00"/>
    </w:rPr>
  </w:style>
  <w:style w:type="character" w:customStyle="1" w:styleId="75">
    <w:name w:val="hilite6"/>
    <w:basedOn w:val="20"/>
    <w:qFormat/>
    <w:uiPriority w:val="0"/>
    <w:rPr>
      <w:color w:val="FFFFFF"/>
      <w:shd w:val="clear" w:fill="666666"/>
    </w:rPr>
  </w:style>
  <w:style w:type="character" w:customStyle="1" w:styleId="76">
    <w:name w:val="hover40"/>
    <w:basedOn w:val="20"/>
    <w:qFormat/>
    <w:uiPriority w:val="0"/>
    <w:rPr>
      <w:color w:val="FFFFFF"/>
    </w:rPr>
  </w:style>
  <w:style w:type="character" w:customStyle="1" w:styleId="77">
    <w:name w:val="active8"/>
    <w:basedOn w:val="20"/>
    <w:qFormat/>
    <w:uiPriority w:val="0"/>
    <w:rPr>
      <w:color w:val="00FF00"/>
      <w:shd w:val="clear" w:fill="111111"/>
    </w:rPr>
  </w:style>
  <w:style w:type="character" w:customStyle="1" w:styleId="78">
    <w:name w:val="ico1658"/>
    <w:basedOn w:val="20"/>
    <w:qFormat/>
    <w:uiPriority w:val="0"/>
  </w:style>
  <w:style w:type="character" w:customStyle="1" w:styleId="79">
    <w:name w:val="ico1659"/>
    <w:basedOn w:val="20"/>
    <w:qFormat/>
    <w:uiPriority w:val="0"/>
  </w:style>
  <w:style w:type="character" w:customStyle="1" w:styleId="80">
    <w:name w:val="ico1660"/>
    <w:basedOn w:val="20"/>
    <w:qFormat/>
    <w:uiPriority w:val="0"/>
  </w:style>
  <w:style w:type="character" w:customStyle="1" w:styleId="81">
    <w:name w:val="xdrichtextbox2"/>
    <w:basedOn w:val="20"/>
    <w:qFormat/>
    <w:uiPriority w:val="0"/>
  </w:style>
  <w:style w:type="character" w:customStyle="1" w:styleId="82">
    <w:name w:val="font191"/>
    <w:basedOn w:val="20"/>
    <w:qFormat/>
    <w:uiPriority w:val="0"/>
    <w:rPr>
      <w:rFonts w:hint="eastAsia" w:ascii="宋体" w:hAnsi="宋体" w:eastAsia="宋体" w:cs="宋体"/>
      <w:color w:val="000000"/>
      <w:sz w:val="20"/>
      <w:szCs w:val="20"/>
      <w:u w:val="none"/>
    </w:rPr>
  </w:style>
  <w:style w:type="character" w:customStyle="1" w:styleId="83">
    <w:name w:val="font81"/>
    <w:basedOn w:val="20"/>
    <w:qFormat/>
    <w:uiPriority w:val="0"/>
    <w:rPr>
      <w:rFonts w:hint="eastAsia" w:ascii="宋体" w:hAnsi="宋体" w:eastAsia="宋体" w:cs="宋体"/>
      <w:color w:val="000000"/>
      <w:sz w:val="21"/>
      <w:szCs w:val="21"/>
      <w:u w:val="none"/>
    </w:rPr>
  </w:style>
  <w:style w:type="character" w:customStyle="1" w:styleId="84">
    <w:name w:val="font112"/>
    <w:basedOn w:val="20"/>
    <w:qFormat/>
    <w:uiPriority w:val="0"/>
    <w:rPr>
      <w:rFonts w:ascii="Calibri" w:hAnsi="Calibri" w:cs="Calibri"/>
      <w:color w:val="000000"/>
      <w:sz w:val="21"/>
      <w:szCs w:val="21"/>
      <w:u w:val="none"/>
    </w:rPr>
  </w:style>
  <w:style w:type="paragraph" w:customStyle="1" w:styleId="85">
    <w:name w:val="表格文字"/>
    <w:basedOn w:val="1"/>
    <w:qFormat/>
    <w:uiPriority w:val="0"/>
    <w:pPr>
      <w:jc w:val="left"/>
    </w:pPr>
    <w:rPr>
      <w:bCs/>
      <w:spacing w:val="10"/>
      <w:kern w:val="0"/>
      <w:sz w:val="24"/>
    </w:rPr>
  </w:style>
  <w:style w:type="character" w:customStyle="1" w:styleId="86">
    <w:name w:val="样式 楷体_GB2312 小四"/>
    <w:unhideWhenUsed/>
    <w:qFormat/>
    <w:uiPriority w:val="99"/>
    <w:rPr>
      <w:rFonts w:hint="eastAsia" w:ascii="楷体_GB2312" w:hAnsi="楷体_GB2312" w:eastAsia="楷体_GB2312"/>
      <w:sz w:val="24"/>
    </w:rPr>
  </w:style>
  <w:style w:type="paragraph" w:customStyle="1" w:styleId="87">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10987</Words>
  <Characters>11693</Characters>
  <Lines>7</Lines>
  <Paragraphs>2</Paragraphs>
  <TotalTime>22</TotalTime>
  <ScaleCrop>false</ScaleCrop>
  <LinksUpToDate>false</LinksUpToDate>
  <CharactersWithSpaces>12531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2017-11-13T03:24:00Z</dcterms:created>
  <dc:creator>Compass</dc:creator>
  <cp:lastModifiedBy>Karen Ho</cp:lastModifiedBy>
  <cp:lastPrinted>2025-11-06T02:36:00Z</cp:lastPrinted>
  <dcterms:modified xsi:type="dcterms:W3CDTF">2026-11-02T06:37:54Z</dcterms:modified>
  <dc:title>佛山市新城物业发展有限公司邀请报价函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C588683CC2094D46A3041FC9EAAAAFBD</vt:lpwstr>
  </property>
  <property fmtid="{D5CDD505-2E9C-101B-9397-08002B2CF9AE}" pid="4" name="KSOTemplateDocerSaveRecord">
    <vt:lpwstr>eyJoZGlkIjoiZWIyMmIyMGNlZmM3YmZlNzliYjRhZTQ1YzA3NmVkODgiLCJ1c2VySWQiOiIxMzc0NzU0MzI2In0=</vt:lpwstr>
  </property>
</Properties>
</file>