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cs="Times New Roman" w:eastAsiaTheme="minorEastAsia"/>
          <w:sz w:val="44"/>
          <w:szCs w:val="44"/>
          <w:u w:val="single"/>
          <w:lang w:val="en-US" w:eastAsia="zh-CN"/>
        </w:rPr>
      </w:pPr>
      <w:r>
        <w:rPr>
          <w:rFonts w:hint="eastAsia" w:ascii="宋体" w:hAnsi="宋体"/>
          <w:sz w:val="28"/>
          <w:szCs w:val="28"/>
        </w:rPr>
        <w:t>合同编号：</w:t>
      </w:r>
      <w:r>
        <w:rPr>
          <w:rFonts w:hint="eastAsia" w:ascii="宋体" w:hAnsi="宋体"/>
          <w:sz w:val="28"/>
          <w:szCs w:val="28"/>
          <w:u w:val="single"/>
          <w:lang w:val="en-US" w:eastAsia="zh-CN"/>
        </w:rPr>
        <w:t xml:space="preserve">                           </w:t>
      </w:r>
    </w:p>
    <w:p>
      <w:pPr>
        <w:jc w:val="center"/>
        <w:rPr>
          <w:rFonts w:hint="default" w:ascii="Times New Roman" w:hAnsi="Times New Roman" w:eastAsia="方正小标宋简体" w:cs="Times New Roman"/>
          <w:sz w:val="44"/>
          <w:szCs w:val="44"/>
        </w:rPr>
      </w:pPr>
    </w:p>
    <w:p>
      <w:pPr>
        <w:jc w:val="center"/>
        <w:rPr>
          <w:rFonts w:hint="eastAsia" w:ascii="Times New Roman" w:hAnsi="Times New Roman" w:eastAsia="方正小标宋简体" w:cs="Times New Roman"/>
          <w:sz w:val="44"/>
          <w:szCs w:val="44"/>
        </w:rPr>
      </w:pPr>
      <w:r>
        <w:rPr>
          <w:rFonts w:hint="eastAsia" w:ascii="Times New Roman" w:hAnsi="Times New Roman" w:eastAsia="方正小标宋简体" w:cs="Times New Roman"/>
          <w:sz w:val="44"/>
          <w:szCs w:val="44"/>
        </w:rPr>
        <w:t>佛山市顺博城市</w:t>
      </w:r>
      <w:r>
        <w:rPr>
          <w:rFonts w:hint="eastAsia" w:ascii="Times New Roman" w:hAnsi="Times New Roman" w:eastAsia="方正小标宋简体" w:cs="Times New Roman"/>
          <w:sz w:val="44"/>
          <w:szCs w:val="44"/>
          <w:lang w:val="en-US" w:eastAsia="zh-CN"/>
        </w:rPr>
        <w:t>发展</w:t>
      </w:r>
      <w:r>
        <w:rPr>
          <w:rFonts w:hint="eastAsia" w:ascii="Times New Roman" w:hAnsi="Times New Roman" w:eastAsia="方正小标宋简体" w:cs="Times New Roman"/>
          <w:sz w:val="44"/>
          <w:szCs w:val="44"/>
        </w:rPr>
        <w:t>有限公司</w:t>
      </w:r>
    </w:p>
    <w:p>
      <w:pPr>
        <w:jc w:val="center"/>
        <w:rPr>
          <w:rFonts w:hint="eastAsia" w:ascii="Times New Roman" w:hAnsi="Times New Roman" w:eastAsia="方正小标宋简体" w:cs="Times New Roman"/>
          <w:sz w:val="44"/>
          <w:szCs w:val="44"/>
          <w:lang w:eastAsia="zh-CN"/>
        </w:rPr>
      </w:pPr>
      <w:r>
        <w:rPr>
          <w:rFonts w:hint="eastAsia" w:ascii="Times New Roman" w:hAnsi="Times New Roman" w:eastAsia="方正小标宋简体" w:cs="Times New Roman"/>
          <w:sz w:val="44"/>
          <w:szCs w:val="44"/>
          <w:lang w:val="en-US" w:eastAsia="zh-CN"/>
        </w:rPr>
        <w:t>顺德区绿色低碳建材项目海砂原材料</w:t>
      </w:r>
      <w:r>
        <w:rPr>
          <w:rFonts w:hint="eastAsia" w:ascii="Times New Roman" w:hAnsi="Times New Roman" w:eastAsia="方正小标宋简体" w:cs="Times New Roman"/>
          <w:sz w:val="44"/>
          <w:szCs w:val="44"/>
          <w:lang w:eastAsia="zh-CN"/>
        </w:rPr>
        <w:t>采购项目</w:t>
      </w:r>
      <w:r>
        <w:rPr>
          <w:rFonts w:hint="eastAsia" w:ascii="Times New Roman" w:hAnsi="Times New Roman" w:eastAsia="方正小标宋简体" w:cs="Times New Roman"/>
          <w:sz w:val="44"/>
          <w:szCs w:val="44"/>
          <w:lang w:val="en-US" w:eastAsia="zh-CN"/>
        </w:rPr>
        <w:t>供应商入库</w:t>
      </w:r>
      <w:r>
        <w:rPr>
          <w:rFonts w:hint="eastAsia" w:ascii="Times New Roman" w:hAnsi="Times New Roman" w:eastAsia="方正小标宋简体" w:cs="Times New Roman"/>
          <w:sz w:val="44"/>
          <w:szCs w:val="44"/>
        </w:rPr>
        <w:t>框架协议</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小标宋简体" w:cs="Times New Roman"/>
          <w:sz w:val="21"/>
          <w:szCs w:val="21"/>
        </w:rPr>
      </w:pPr>
    </w:p>
    <w:p>
      <w:pPr>
        <w:rPr>
          <w:rFonts w:hint="eastAsia"/>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甲方：佛山市顺博城市</w:t>
      </w:r>
      <w:r>
        <w:rPr>
          <w:rFonts w:hint="eastAsia" w:ascii="仿宋_GB2312" w:hAnsi="仿宋_GB2312" w:eastAsia="仿宋_GB2312" w:cs="仿宋_GB2312"/>
          <w:sz w:val="32"/>
          <w:szCs w:val="32"/>
          <w:lang w:val="en-US" w:eastAsia="zh-CN"/>
        </w:rPr>
        <w:t>发展</w:t>
      </w:r>
      <w:r>
        <w:rPr>
          <w:rFonts w:hint="eastAsia" w:ascii="仿宋_GB2312" w:hAnsi="仿宋_GB2312" w:eastAsia="仿宋_GB2312" w:cs="仿宋_GB2312"/>
          <w:sz w:val="32"/>
          <w:szCs w:val="32"/>
        </w:rPr>
        <w:t>有限公司</w:t>
      </w: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地址：</w:t>
      </w:r>
      <w:r>
        <w:rPr>
          <w:rFonts w:hint="eastAsia" w:ascii="仿宋_GB2312" w:hAnsi="仿宋_GB2312" w:eastAsia="仿宋_GB2312" w:cs="仿宋_GB2312"/>
          <w:sz w:val="32"/>
          <w:szCs w:val="32"/>
          <w:u w:val="single"/>
          <w:lang w:eastAsia="zh-CN"/>
        </w:rPr>
        <w:t xml:space="preserve"> </w:t>
      </w:r>
      <w:r>
        <w:rPr>
          <w:rFonts w:hint="eastAsia" w:ascii="仿宋_GB2312" w:hAnsi="仿宋_GB2312" w:eastAsia="仿宋_GB2312" w:cs="仿宋_GB2312"/>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法定代表人：</w:t>
      </w:r>
      <w:r>
        <w:rPr>
          <w:rFonts w:hint="eastAsia" w:ascii="仿宋_GB2312" w:hAnsi="仿宋_GB2312" w:eastAsia="仿宋_GB2312" w:cs="仿宋_GB2312"/>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rPr>
        <w:t>乙方：</w:t>
      </w:r>
      <w:r>
        <w:rPr>
          <w:rFonts w:hint="eastAsia" w:ascii="仿宋_GB2312" w:hAnsi="仿宋_GB2312" w:eastAsia="仿宋_GB2312" w:cs="仿宋_GB2312"/>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地址：</w:t>
      </w:r>
      <w:r>
        <w:rPr>
          <w:rFonts w:hint="eastAsia" w:ascii="仿宋_GB2312" w:hAnsi="仿宋_GB2312" w:eastAsia="仿宋_GB2312" w:cs="仿宋_GB2312"/>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法定代表人：</w:t>
      </w:r>
      <w:r>
        <w:rPr>
          <w:rFonts w:hint="eastAsia" w:ascii="仿宋_GB2312" w:hAnsi="仿宋_GB2312" w:eastAsia="仿宋_GB2312" w:cs="仿宋_GB2312"/>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甲乙双方基于优势互补、互利共赢的原则，</w:t>
      </w:r>
      <w:r>
        <w:rPr>
          <w:rFonts w:hint="eastAsia" w:ascii="仿宋_GB2312" w:hAnsi="仿宋_GB2312" w:eastAsia="仿宋_GB2312" w:cs="仿宋_GB2312"/>
          <w:sz w:val="32"/>
          <w:szCs w:val="32"/>
        </w:rPr>
        <w:t>旨在建立甲方海砂原材料采购合格供应商库，明确入库供应商的资格条件、权利义务及库内采购规则，</w:t>
      </w:r>
      <w:r>
        <w:rPr>
          <w:rFonts w:hint="eastAsia" w:ascii="仿宋_GB2312" w:hAnsi="仿宋_GB2312" w:eastAsia="仿宋_GB2312" w:cs="仿宋_GB2312"/>
          <w:sz w:val="32"/>
          <w:szCs w:val="32"/>
          <w:lang w:val="en-US" w:eastAsia="zh-CN"/>
        </w:rPr>
        <w:t>保障项目顺利推进并实现既定目标。经过友好协商，双方决定建立顺德区绿色低碳建材项目海砂原材料采购项目战略合作伙伴关系，并达成如下战略合作合同：</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rPr>
        <w:t>一、</w:t>
      </w:r>
      <w:r>
        <w:rPr>
          <w:rFonts w:hint="eastAsia" w:ascii="仿宋_GB2312" w:hAnsi="仿宋_GB2312" w:eastAsia="仿宋_GB2312" w:cs="仿宋_GB2312"/>
          <w:b/>
          <w:bCs/>
          <w:sz w:val="32"/>
          <w:szCs w:val="32"/>
          <w:lang w:val="en-US" w:eastAsia="zh-CN"/>
        </w:rPr>
        <w:t>合作原则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rPr>
        <w:t>本协议为供应商入库资格的框架性协议，仅确立乙方的合格供应商入库资格，不构成甲方对乙方的任何采购承诺。合作项目中具体采购事宜需双方在对应批次采购合同</w:t>
      </w:r>
      <w:r>
        <w:rPr>
          <w:rFonts w:hint="eastAsia" w:ascii="仿宋_GB2312" w:hAnsi="仿宋_GB2312" w:eastAsia="仿宋_GB2312" w:cs="仿宋_GB2312"/>
          <w:sz w:val="32"/>
          <w:szCs w:val="32"/>
          <w:lang w:val="en-US" w:eastAsia="zh-CN"/>
        </w:rPr>
        <w:t>中进一步予以明确。如因政策、不可抗力或各方未能就本协议所涉项目达成具体合同，则任一方均有权提出解除本协议，双方互不承担违约责任。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（二）双方在对涉及对方的公众宣传和市场营销活动前，应充分沟通，协商一致</w:t>
      </w:r>
      <w:r>
        <w:rPr>
          <w:rFonts w:hint="eastAsia" w:ascii="仿宋_GB2312" w:hAnsi="仿宋_GB2312" w:eastAsia="仿宋_GB2312" w:cs="仿宋_GB2312"/>
          <w:sz w:val="32"/>
          <w:szCs w:val="32"/>
          <w:highlight w:val="none"/>
          <w:lang w:val="en-US" w:eastAsia="zh-CN"/>
        </w:rPr>
        <w:t>经双方同意后方可发布</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乙方不得擅自以甲方“战略合作伙伴”“指定供应商”等名义开展任何对外宣传、商业推广活动，否则甲方有权立即取消其入库资格并追究乙方违约责任。</w:t>
      </w: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二</w:t>
      </w:r>
      <w:r>
        <w:rPr>
          <w:rFonts w:hint="eastAsia" w:ascii="仿宋_GB2312" w:hAnsi="仿宋_GB2312" w:eastAsia="仿宋_GB2312" w:cs="仿宋_GB2312"/>
          <w:b/>
          <w:bCs/>
          <w:sz w:val="32"/>
          <w:szCs w:val="32"/>
        </w:rPr>
        <w:t>、合作</w:t>
      </w:r>
      <w:r>
        <w:rPr>
          <w:rFonts w:hint="eastAsia" w:ascii="仿宋_GB2312" w:hAnsi="仿宋_GB2312" w:eastAsia="仿宋_GB2312" w:cs="仿宋_GB2312"/>
          <w:b/>
          <w:bCs/>
          <w:sz w:val="32"/>
          <w:szCs w:val="32"/>
          <w:lang w:val="en-US" w:eastAsia="zh-CN"/>
        </w:rPr>
        <w:t>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eastAsia="zh-CN"/>
        </w:rPr>
        <w:t>（一）</w:t>
      </w:r>
      <w:r>
        <w:rPr>
          <w:rFonts w:hint="eastAsia" w:ascii="仿宋_GB2312" w:hAnsi="仿宋_GB2312" w:eastAsia="仿宋_GB2312" w:cs="仿宋_GB2312"/>
          <w:sz w:val="32"/>
          <w:szCs w:val="32"/>
          <w:u w:val="none"/>
          <w:lang w:val="en-US" w:eastAsia="zh-CN"/>
        </w:rPr>
        <w:t>甲方为</w:t>
      </w:r>
      <w:r>
        <w:rPr>
          <w:rFonts w:hint="eastAsia" w:ascii="仿宋_GB2312" w:hAnsi="仿宋_GB2312" w:eastAsia="仿宋_GB2312" w:cs="仿宋_GB2312"/>
          <w:sz w:val="32"/>
          <w:szCs w:val="32"/>
          <w:lang w:val="en-US" w:eastAsia="zh-CN"/>
        </w:rPr>
        <w:t>顺德区绿色低碳建材项目业主单位，甲方在合作期内按自身生产与销售的需求</w:t>
      </w:r>
      <w:r>
        <w:rPr>
          <w:rFonts w:hint="eastAsia" w:ascii="仿宋_GB2312" w:hAnsi="仿宋_GB2312" w:eastAsia="仿宋_GB2312" w:cs="仿宋_GB2312"/>
          <w:sz w:val="32"/>
          <w:szCs w:val="32"/>
        </w:rPr>
        <w:t>在本协议项下的合格供应商库范围内，通过优盟平台向含乙方在内的入库供应商发出采购询价邀约</w:t>
      </w:r>
      <w:r>
        <w:rPr>
          <w:rFonts w:hint="eastAsia" w:ascii="仿宋_GB2312" w:hAnsi="仿宋_GB2312" w:eastAsia="仿宋_GB2312" w:cs="仿宋_GB2312"/>
          <w:sz w:val="32"/>
          <w:szCs w:val="32"/>
          <w:lang w:val="en-US" w:eastAsia="zh-CN"/>
        </w:rPr>
        <w:t>。甲方有权在采购前公布参考价格或价格区间（可参考第三方造价咨询单位出具的采购预算价格或市场询价），乙方报价超出价格区间的，甲方有权要求乙方书面说明理由或视为无效报价。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二</w:t>
      </w:r>
      <w:r>
        <w:rPr>
          <w:rFonts w:hint="eastAsia" w:ascii="仿宋_GB2312" w:hAnsi="仿宋_GB2312" w:eastAsia="仿宋_GB2312" w:cs="仿宋_GB2312"/>
          <w:sz w:val="32"/>
          <w:szCs w:val="32"/>
          <w:u w:val="none"/>
          <w:lang w:eastAsia="zh-CN"/>
        </w:rPr>
        <w:t>）乙方</w:t>
      </w:r>
      <w:r>
        <w:rPr>
          <w:rFonts w:hint="eastAsia" w:ascii="仿宋_GB2312" w:hAnsi="仿宋_GB2312" w:eastAsia="仿宋_GB2312" w:cs="仿宋_GB2312"/>
          <w:sz w:val="32"/>
          <w:szCs w:val="32"/>
          <w:u w:val="none"/>
          <w:lang w:val="en-US" w:eastAsia="zh-CN"/>
        </w:rPr>
        <w:t>为</w:t>
      </w:r>
      <w:r>
        <w:rPr>
          <w:rFonts w:hint="eastAsia" w:ascii="仿宋_GB2312" w:hAnsi="宋体" w:eastAsia="仿宋_GB2312"/>
          <w:sz w:val="32"/>
          <w:szCs w:val="32"/>
          <w:u w:val="none"/>
        </w:rPr>
        <w:fldChar w:fldCharType="begin">
          <w:ffData>
            <w:name w:val="Text2"/>
            <w:enabled/>
            <w:calcOnExit w:val="0"/>
            <w:textInput/>
          </w:ffData>
        </w:fldChar>
      </w:r>
      <w:r>
        <w:rPr>
          <w:rFonts w:hint="eastAsia" w:ascii="仿宋_GB2312" w:hAnsi="宋体" w:eastAsia="仿宋_GB2312"/>
          <w:sz w:val="32"/>
          <w:szCs w:val="32"/>
          <w:u w:val="none"/>
        </w:rPr>
        <w:instrText xml:space="preserve">FORMTEXT</w:instrText>
      </w:r>
      <w:r>
        <w:rPr>
          <w:rFonts w:hint="eastAsia" w:ascii="仿宋_GB2312" w:hAnsi="宋体" w:eastAsia="仿宋_GB2312"/>
          <w:sz w:val="32"/>
          <w:szCs w:val="32"/>
          <w:u w:val="none"/>
        </w:rPr>
        <w:fldChar w:fldCharType="separate"/>
      </w:r>
      <w:r>
        <w:rPr>
          <w:rFonts w:hint="default" w:ascii="仿宋_GB2312" w:hAnsi="宋体" w:eastAsia="仿宋_GB2312"/>
          <w:sz w:val="32"/>
          <w:szCs w:val="32"/>
          <w:u w:val="none"/>
          <w:lang w:val="en-US"/>
        </w:rPr>
        <w:t>     </w:t>
      </w:r>
      <w:r>
        <w:rPr>
          <w:rFonts w:hint="eastAsia" w:ascii="仿宋_GB2312" w:hAnsi="宋体" w:eastAsia="仿宋_GB2312"/>
          <w:sz w:val="32"/>
          <w:szCs w:val="32"/>
          <w:u w:val="none"/>
        </w:rPr>
        <w:fldChar w:fldCharType="end"/>
      </w:r>
      <w:r>
        <w:rPr>
          <w:rFonts w:hint="eastAsia" w:ascii="仿宋_GB2312" w:hAnsi="仿宋_GB2312" w:eastAsia="仿宋_GB2312" w:cs="仿宋_GB2312"/>
          <w:sz w:val="32"/>
          <w:szCs w:val="32"/>
          <w:u w:val="none"/>
          <w:lang w:val="en-US" w:eastAsia="zh-CN"/>
        </w:rPr>
        <w:t>市</w:t>
      </w:r>
      <w:r>
        <w:rPr>
          <w:rFonts w:hint="eastAsia" w:ascii="仿宋_GB2312" w:hAnsi="宋体" w:eastAsia="仿宋_GB2312"/>
          <w:sz w:val="32"/>
          <w:szCs w:val="32"/>
          <w:u w:val="none"/>
        </w:rPr>
        <w:fldChar w:fldCharType="begin">
          <w:ffData>
            <w:name w:val="Text2"/>
            <w:enabled/>
            <w:calcOnExit w:val="0"/>
            <w:textInput/>
          </w:ffData>
        </w:fldChar>
      </w:r>
      <w:r>
        <w:rPr>
          <w:rFonts w:hint="eastAsia" w:ascii="仿宋_GB2312" w:hAnsi="宋体" w:eastAsia="仿宋_GB2312"/>
          <w:sz w:val="32"/>
          <w:szCs w:val="32"/>
          <w:u w:val="none"/>
        </w:rPr>
        <w:instrText xml:space="preserve">FORMTEXT</w:instrText>
      </w:r>
      <w:r>
        <w:rPr>
          <w:rFonts w:hint="eastAsia" w:ascii="仿宋_GB2312" w:hAnsi="宋体" w:eastAsia="仿宋_GB2312"/>
          <w:sz w:val="32"/>
          <w:szCs w:val="32"/>
          <w:u w:val="none"/>
        </w:rPr>
        <w:fldChar w:fldCharType="separate"/>
      </w:r>
      <w:r>
        <w:rPr>
          <w:rFonts w:hint="default" w:ascii="仿宋_GB2312" w:hAnsi="宋体" w:eastAsia="仿宋_GB2312"/>
          <w:sz w:val="32"/>
          <w:szCs w:val="32"/>
          <w:u w:val="none"/>
          <w:lang w:val="en-US"/>
        </w:rPr>
        <w:t>   </w:t>
      </w:r>
      <w:r>
        <w:rPr>
          <w:rFonts w:hint="eastAsia" w:ascii="仿宋_GB2312" w:hAnsi="宋体" w:eastAsia="仿宋_GB2312"/>
          <w:sz w:val="32"/>
          <w:szCs w:val="32"/>
          <w:u w:val="none"/>
          <w:lang w:val="en-US" w:eastAsia="zh-CN"/>
        </w:rPr>
        <w:t xml:space="preserve">              </w:t>
      </w:r>
      <w:r>
        <w:rPr>
          <w:rFonts w:hint="default" w:ascii="仿宋_GB2312" w:hAnsi="宋体" w:eastAsia="仿宋_GB2312"/>
          <w:sz w:val="32"/>
          <w:szCs w:val="32"/>
          <w:u w:val="none"/>
          <w:lang w:val="en-US"/>
        </w:rPr>
        <w:t>  </w:t>
      </w:r>
      <w:r>
        <w:rPr>
          <w:rFonts w:hint="eastAsia" w:ascii="仿宋_GB2312" w:hAnsi="宋体" w:eastAsia="仿宋_GB2312"/>
          <w:sz w:val="32"/>
          <w:szCs w:val="32"/>
          <w:u w:val="none"/>
        </w:rPr>
        <w:fldChar w:fldCharType="end"/>
      </w:r>
      <w:r>
        <w:rPr>
          <w:rFonts w:hint="eastAsia" w:ascii="仿宋_GB2312" w:hAnsi="仿宋_GB2312" w:eastAsia="仿宋_GB2312" w:cs="仿宋_GB2312"/>
          <w:sz w:val="32"/>
          <w:szCs w:val="32"/>
          <w:u w:val="none"/>
          <w:lang w:val="en-US" w:eastAsia="zh-CN"/>
        </w:rPr>
        <w:t>（海砂矿区或标段）的以下其中一项：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u w:val="none"/>
          <w:lang w:eastAsia="zh-CN"/>
        </w:rPr>
      </w:pPr>
      <w:r>
        <w:rPr>
          <w:rFonts w:hint="eastAsia" w:ascii="仿宋_GB2312" w:hAnsi="宋体" w:eastAsia="仿宋_GB2312"/>
          <w:sz w:val="32"/>
          <w:szCs w:val="32"/>
          <w:lang w:val="en-US" w:eastAsia="zh-CN"/>
        </w:rPr>
        <w:sym w:font="Wingdings 2" w:char="00A3"/>
      </w:r>
      <w:r>
        <w:rPr>
          <w:rFonts w:hint="eastAsia" w:ascii="仿宋_GB2312" w:hAnsi="仿宋_GB2312" w:eastAsia="仿宋_GB2312" w:cs="仿宋_GB2312"/>
          <w:sz w:val="32"/>
          <w:szCs w:val="32"/>
          <w:lang w:val="en-US" w:eastAsia="zh-CN"/>
        </w:rPr>
        <w:t>海砂矿区或标段的</w:t>
      </w:r>
      <w:r>
        <w:rPr>
          <w:rFonts w:hint="eastAsia" w:ascii="仿宋_GB2312" w:hAnsi="仿宋_GB2312" w:eastAsia="仿宋_GB2312" w:cs="仿宋_GB2312"/>
          <w:b/>
          <w:bCs/>
          <w:sz w:val="32"/>
          <w:szCs w:val="32"/>
          <w:lang w:val="en-US" w:eastAsia="zh-CN"/>
        </w:rPr>
        <w:t>矿业权人；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u w:val="none"/>
          <w:lang w:eastAsia="zh-CN"/>
        </w:rPr>
      </w:pPr>
      <w:r>
        <w:rPr>
          <w:rFonts w:hint="eastAsia" w:ascii="仿宋_GB2312" w:hAnsi="宋体" w:eastAsia="仿宋_GB2312"/>
          <w:sz w:val="32"/>
          <w:szCs w:val="32"/>
          <w:lang w:val="en-US" w:eastAsia="zh-CN"/>
        </w:rPr>
        <w:sym w:font="Wingdings 2" w:char="00A3"/>
      </w:r>
      <w:r>
        <w:rPr>
          <w:rFonts w:hint="eastAsia" w:ascii="仿宋_GB2312" w:hAnsi="仿宋_GB2312" w:eastAsia="仿宋_GB2312" w:cs="仿宋_GB2312"/>
          <w:sz w:val="32"/>
          <w:szCs w:val="32"/>
          <w:lang w:val="en-US" w:eastAsia="zh-CN"/>
        </w:rPr>
        <w:t>海砂矿区或标段的</w:t>
      </w:r>
      <w:r>
        <w:rPr>
          <w:rFonts w:hint="eastAsia" w:ascii="仿宋_GB2312" w:hAnsi="仿宋_GB2312" w:eastAsia="仿宋_GB2312" w:cs="仿宋_GB2312"/>
          <w:b/>
          <w:bCs/>
          <w:sz w:val="32"/>
          <w:szCs w:val="32"/>
          <w:lang w:val="en-US" w:eastAsia="zh-CN"/>
        </w:rPr>
        <w:t>矿业权人指定的经销商/代理商；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u w:val="none"/>
          <w:lang w:eastAsia="zh-CN"/>
        </w:rPr>
      </w:pPr>
      <w:r>
        <w:rPr>
          <w:rFonts w:hint="eastAsia" w:ascii="仿宋_GB2312" w:hAnsi="宋体" w:eastAsia="仿宋_GB2312"/>
          <w:sz w:val="32"/>
          <w:szCs w:val="32"/>
          <w:lang w:val="en-US" w:eastAsia="zh-CN"/>
        </w:rPr>
        <w:sym w:font="Wingdings 2" w:char="00A3"/>
      </w:r>
      <w:r>
        <w:rPr>
          <w:rFonts w:hint="eastAsia" w:ascii="仿宋_GB2312" w:hAnsi="仿宋_GB2312" w:eastAsia="仿宋_GB2312" w:cs="仿宋_GB2312"/>
          <w:sz w:val="32"/>
          <w:szCs w:val="32"/>
          <w:lang w:val="en-US" w:eastAsia="zh-CN"/>
        </w:rPr>
        <w:t>海砂矿区或标段的</w:t>
      </w:r>
      <w:r>
        <w:rPr>
          <w:rFonts w:hint="eastAsia" w:ascii="仿宋_GB2312" w:hAnsi="仿宋_GB2312" w:eastAsia="仿宋_GB2312" w:cs="仿宋_GB2312"/>
          <w:b/>
          <w:bCs/>
          <w:sz w:val="32"/>
          <w:szCs w:val="32"/>
          <w:lang w:val="en-US" w:eastAsia="zh-CN"/>
        </w:rPr>
        <w:t>矿业权人指定的经销商/代理商合法授权的分销商；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rPr>
        <w:t>乙方承诺自身具备合法有效的海砂开采</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销售</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运输资质，所供应砂源来源合法、合规，相关资质证明文件已作为入库申请材料提交甲方核验并真实有效。</w:t>
      </w:r>
      <w:r>
        <w:rPr>
          <w:rFonts w:hint="eastAsia" w:ascii="仿宋_GB2312" w:hAnsi="仿宋_GB2312" w:eastAsia="仿宋_GB2312" w:cs="仿宋_GB2312"/>
          <w:sz w:val="32"/>
          <w:szCs w:val="32"/>
          <w:u w:val="none"/>
          <w:lang w:val="en-US" w:eastAsia="zh-CN"/>
        </w:rPr>
        <w:t>乙方经甲方确认为</w:t>
      </w:r>
      <w:r>
        <w:rPr>
          <w:rFonts w:hint="eastAsia" w:ascii="仿宋_GB2312" w:hAnsi="仿宋_GB2312" w:eastAsia="仿宋_GB2312" w:cs="仿宋_GB2312"/>
          <w:sz w:val="32"/>
          <w:szCs w:val="32"/>
          <w:lang w:val="en-US" w:eastAsia="zh-CN"/>
        </w:rPr>
        <w:t>顺德区绿色低碳建材项目海砂原材料入库供应商</w:t>
      </w:r>
      <w:r>
        <w:rPr>
          <w:rFonts w:hint="eastAsia" w:ascii="仿宋_GB2312" w:hAnsi="仿宋_GB2312" w:eastAsia="仿宋_GB2312" w:cs="仿宋_GB2312"/>
          <w:sz w:val="32"/>
          <w:szCs w:val="32"/>
        </w:rPr>
        <w:t>，仅获得参与甲方库内采购项目询价报价的资格，不代表必然获得采购订单</w:t>
      </w:r>
      <w:r>
        <w:rPr>
          <w:rFonts w:hint="eastAsia" w:ascii="仿宋_GB2312" w:hAnsi="仿宋_GB2312" w:eastAsia="仿宋_GB2312" w:cs="仿宋_GB2312"/>
          <w:sz w:val="32"/>
          <w:szCs w:val="32"/>
          <w:lang w:val="en-US" w:eastAsia="zh-CN"/>
        </w:rPr>
        <w:t>。乙方</w:t>
      </w:r>
      <w:r>
        <w:rPr>
          <w:rFonts w:hint="eastAsia" w:ascii="仿宋_GB2312" w:hAnsi="仿宋_GB2312" w:eastAsia="仿宋_GB2312" w:cs="仿宋_GB2312"/>
          <w:sz w:val="32"/>
          <w:szCs w:val="32"/>
          <w:u w:val="none"/>
          <w:lang w:val="en-US" w:eastAsia="zh-CN"/>
        </w:rPr>
        <w:t>根据</w:t>
      </w:r>
      <w:r>
        <w:rPr>
          <w:rFonts w:hint="eastAsia" w:ascii="仿宋_GB2312" w:hAnsi="仿宋_GB2312" w:eastAsia="仿宋_GB2312" w:cs="仿宋_GB2312"/>
          <w:sz w:val="32"/>
          <w:szCs w:val="32"/>
          <w:u w:val="none"/>
          <w:lang w:eastAsia="zh-CN"/>
        </w:rPr>
        <w:t>甲方</w:t>
      </w:r>
      <w:r>
        <w:rPr>
          <w:rFonts w:hint="eastAsia" w:ascii="仿宋_GB2312" w:hAnsi="仿宋_GB2312" w:eastAsia="仿宋_GB2312" w:cs="仿宋_GB2312"/>
          <w:sz w:val="32"/>
          <w:szCs w:val="32"/>
          <w:lang w:val="en-US" w:eastAsia="zh-CN"/>
        </w:rPr>
        <w:t>确定的每批次采购需求量、规格要求、砂源矿区/标段，在规定时间内在优盟平台响应甲方的采购询价，并进行进报价（报价须为不含税价）。报价应包含海砂原材料从矿区砂机卸到乙方运输船并运输至甲方指定的地点及产生的原材料费、运输费、船舶调迁、转载、装卸费、保险费、利润、税金等全部费用。</w:t>
      </w:r>
      <w:r>
        <w:rPr>
          <w:rFonts w:hint="eastAsia" w:ascii="仿宋_GB2312" w:hAnsi="仿宋_GB2312" w:eastAsia="仿宋_GB2312" w:cs="仿宋_GB2312"/>
          <w:sz w:val="32"/>
          <w:szCs w:val="32"/>
        </w:rPr>
        <w:t>乙方响应报价即视为认可甲方该批次采购的全部规则要求，最终按甲方每批次评选规则确定中选供应商，中选后双方签订具体批次采购合同，乙方按合同约定提供海砂原材料及相应服务。</w:t>
      </w:r>
    </w:p>
    <w:p>
      <w:pPr>
        <w:spacing w:line="560" w:lineRule="exact"/>
        <w:ind w:firstLine="48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val="en-US" w:eastAsia="zh-CN"/>
        </w:rPr>
        <w:t>（三）</w:t>
      </w:r>
      <w:r>
        <w:rPr>
          <w:rFonts w:hint="eastAsia" w:ascii="仿宋_GB2312" w:hAnsi="仿宋_GB2312" w:eastAsia="仿宋_GB2312" w:cs="仿宋_GB2312"/>
          <w:sz w:val="32"/>
          <w:szCs w:val="32"/>
          <w:u w:val="none"/>
        </w:rPr>
        <w:t>未经甲方同意，乙方擅自将</w:t>
      </w:r>
      <w:r>
        <w:rPr>
          <w:rFonts w:hint="eastAsia" w:ascii="仿宋_GB2312" w:hAnsi="仿宋_GB2312" w:eastAsia="仿宋_GB2312" w:cs="仿宋_GB2312"/>
          <w:sz w:val="32"/>
          <w:szCs w:val="32"/>
          <w:u w:val="none"/>
          <w:lang w:val="en-US" w:eastAsia="zh-CN"/>
        </w:rPr>
        <w:t>某些（个）具体</w:t>
      </w:r>
      <w:r>
        <w:rPr>
          <w:rFonts w:hint="eastAsia" w:ascii="仿宋_GB2312" w:hAnsi="仿宋_GB2312" w:eastAsia="仿宋_GB2312" w:cs="仿宋_GB2312"/>
          <w:sz w:val="32"/>
          <w:szCs w:val="32"/>
          <w:u w:val="none"/>
        </w:rPr>
        <w:t>项目分包、转包给第三方的，甲方有权解除合同，要求乙方支付</w:t>
      </w:r>
      <w:r>
        <w:rPr>
          <w:rFonts w:hint="eastAsia" w:ascii="仿宋_GB2312" w:hAnsi="仿宋_GB2312" w:eastAsia="仿宋_GB2312" w:cs="仿宋_GB2312"/>
          <w:sz w:val="32"/>
          <w:szCs w:val="32"/>
          <w:u w:val="none"/>
          <w:lang w:val="en-US" w:eastAsia="zh-CN"/>
        </w:rPr>
        <w:t>对应具体执行</w:t>
      </w:r>
      <w:r>
        <w:rPr>
          <w:rFonts w:hint="eastAsia" w:ascii="仿宋_GB2312" w:hAnsi="仿宋_GB2312" w:eastAsia="仿宋_GB2312" w:cs="仿宋_GB2312"/>
          <w:sz w:val="32"/>
          <w:szCs w:val="32"/>
          <w:u w:val="none"/>
        </w:rPr>
        <w:t>合同暂定总价20%的违约金，同时有权暂停或直接取消乙方的入库供应商资格；甲方</w:t>
      </w:r>
      <w:r>
        <w:rPr>
          <w:rFonts w:hint="eastAsia" w:ascii="仿宋_GB2312" w:hAnsi="仿宋_GB2312" w:eastAsia="仿宋_GB2312" w:cs="仿宋_GB2312"/>
          <w:sz w:val="32"/>
          <w:szCs w:val="32"/>
          <w:u w:val="none"/>
          <w:lang w:val="en-US" w:eastAsia="zh-CN"/>
        </w:rPr>
        <w:t>应按实际情况</w:t>
      </w:r>
      <w:r>
        <w:rPr>
          <w:rFonts w:hint="eastAsia" w:ascii="仿宋_GB2312" w:hAnsi="仿宋_GB2312" w:eastAsia="仿宋_GB2312" w:cs="仿宋_GB2312"/>
          <w:sz w:val="32"/>
          <w:szCs w:val="32"/>
          <w:u w:val="none"/>
        </w:rPr>
        <w:t>在合同终止后支付应付未付的合同款项，乙方应赔偿甲方因此受到的一切损失。</w:t>
      </w:r>
    </w:p>
    <w:p>
      <w:pPr>
        <w:pStyle w:val="2"/>
        <w:keepNext w:val="0"/>
        <w:keepLines w:val="0"/>
        <w:spacing w:before="0" w:after="0" w:line="560" w:lineRule="exact"/>
        <w:ind w:firstLine="600" w:firstLineChars="200"/>
        <w:rPr>
          <w:rFonts w:hint="default" w:ascii="仿宋_GB2312" w:hAnsi="仿宋_GB2312" w:eastAsia="仿宋_GB2312" w:cs="仿宋_GB2312"/>
          <w:b w:val="0"/>
          <w:bCs/>
          <w:sz w:val="30"/>
          <w:szCs w:val="30"/>
          <w:lang w:val="en-US" w:eastAsia="zh-CN"/>
        </w:rPr>
      </w:pPr>
      <w:r>
        <w:rPr>
          <w:rFonts w:hint="eastAsia" w:ascii="仿宋_GB2312" w:hAnsi="仿宋_GB2312" w:eastAsia="仿宋_GB2312" w:cs="仿宋_GB2312"/>
          <w:b w:val="0"/>
          <w:bCs/>
          <w:sz w:val="30"/>
          <w:szCs w:val="30"/>
          <w:lang w:val="en-US" w:eastAsia="zh-CN"/>
        </w:rPr>
        <w:t>（四）乙方应于收到甲方发出的成交通知书之日起5个日历天内向甲方支付入库履约保证金20000元（大写：人民币贰万元整），如乙方</w:t>
      </w:r>
      <w:r>
        <w:rPr>
          <w:rFonts w:hint="eastAsia" w:ascii="仿宋_GB2312" w:hAnsi="仿宋_GB2312" w:eastAsia="仿宋_GB2312" w:cs="仿宋_GB2312"/>
          <w:b w:val="0"/>
          <w:bCs/>
          <w:sz w:val="30"/>
          <w:szCs w:val="30"/>
        </w:rPr>
        <w:t>未按时缴纳保证金的，视为自动放弃入库及参与后续报价资格</w:t>
      </w:r>
      <w:r>
        <w:rPr>
          <w:rFonts w:hint="eastAsia" w:ascii="仿宋_GB2312" w:hAnsi="仿宋_GB2312" w:eastAsia="仿宋_GB2312" w:cs="仿宋_GB2312"/>
          <w:b w:val="0"/>
          <w:bCs/>
          <w:sz w:val="30"/>
          <w:szCs w:val="30"/>
          <w:lang w:eastAsia="zh-CN"/>
        </w:rPr>
        <w:t>，</w:t>
      </w:r>
      <w:r>
        <w:rPr>
          <w:rFonts w:hint="eastAsia" w:ascii="仿宋_GB2312" w:hAnsi="仿宋_GB2312" w:eastAsia="仿宋_GB2312" w:cs="仿宋_GB2312"/>
          <w:b w:val="0"/>
          <w:bCs/>
          <w:sz w:val="30"/>
          <w:szCs w:val="30"/>
          <w:lang w:val="en-US" w:eastAsia="zh-CN"/>
        </w:rPr>
        <w:t>并且应向甲方支付违约金5000元。</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highlight w:val="yellow"/>
          <w:lang w:val="en-US" w:eastAsia="zh-CN"/>
        </w:rPr>
      </w:pPr>
      <w:r>
        <w:rPr>
          <w:rFonts w:hint="eastAsia" w:ascii="仿宋_GB2312" w:hAnsi="仿宋_GB2312" w:eastAsia="仿宋_GB2312" w:cs="仿宋_GB2312"/>
          <w:b/>
          <w:bCs/>
          <w:sz w:val="32"/>
          <w:szCs w:val="32"/>
          <w:lang w:val="en-US" w:eastAsia="zh-CN"/>
        </w:rPr>
        <w:t>三</w:t>
      </w:r>
      <w:r>
        <w:rPr>
          <w:rFonts w:hint="eastAsia" w:ascii="仿宋_GB2312" w:hAnsi="仿宋_GB2312" w:eastAsia="仿宋_GB2312" w:cs="仿宋_GB2312"/>
          <w:b/>
          <w:bCs/>
          <w:sz w:val="32"/>
          <w:szCs w:val="32"/>
        </w:rPr>
        <w:t>、采购定价与采购量规则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（一）本协议项下</w:t>
      </w:r>
      <w:r>
        <w:rPr>
          <w:rFonts w:hint="eastAsia" w:ascii="仿宋_GB2312" w:hAnsi="仿宋_GB2312" w:eastAsia="仿宋_GB2312" w:cs="仿宋_GB2312"/>
          <w:sz w:val="32"/>
          <w:szCs w:val="32"/>
        </w:rPr>
        <w:t>年度预估采购总量</w:t>
      </w:r>
      <w:r>
        <w:rPr>
          <w:rFonts w:hint="eastAsia" w:ascii="仿宋_GB2312" w:hAnsi="仿宋_GB2312" w:eastAsia="仿宋_GB2312" w:cs="仿宋_GB2312"/>
          <w:sz w:val="32"/>
          <w:szCs w:val="32"/>
          <w:lang w:val="en-US" w:eastAsia="zh-CN"/>
        </w:rPr>
        <w:t>暂定为35万吨（含所有砂源地的采购总量），详见附件1《佛山市顺博城市发展有限公司海砂原材料采购需求清单》。</w:t>
      </w:r>
      <w:r>
        <w:rPr>
          <w:rFonts w:hint="eastAsia" w:ascii="仿宋_GB2312" w:hAnsi="仿宋_GB2312" w:eastAsia="仿宋_GB2312" w:cs="仿宋_GB2312"/>
          <w:sz w:val="32"/>
          <w:szCs w:val="32"/>
        </w:rPr>
        <w:t>该预估量仅作为甲方年度采购计划参考，不构成甲方的采购义务；</w:t>
      </w:r>
      <w:r>
        <w:rPr>
          <w:rFonts w:hint="eastAsia" w:ascii="仿宋_GB2312" w:hAnsi="仿宋_GB2312" w:eastAsia="仿宋_GB2312" w:cs="仿宋_GB2312"/>
          <w:sz w:val="32"/>
          <w:szCs w:val="32"/>
          <w:lang w:val="en-US" w:eastAsia="zh-CN"/>
        </w:rPr>
        <w:t>甲方可根据自身实际需求，调整采购量，并不视为甲方违约，甲方不再向乙方另行支付任何费用或补偿。</w:t>
      </w:r>
    </w:p>
    <w:p>
      <w:pPr>
        <w:pStyle w:val="5"/>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甲乙双方根据甲方每批次采购项目的对应的采购量和成交单价签订具体采购合同，每批次确定中选价格后，当批次内价格原则上不再进行调整。如遇国家政策性调价、资源税调整、运输政策重大变化等客观因素导致原材料成本发生重大波动（波动幅度超过±10%），甲乙双方可提出价格调整申请，提供充分佐证材料，经双方协商一致并签署补充协议后执行调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sz w:val="32"/>
          <w:szCs w:val="32"/>
          <w:lang w:val="en-US" w:eastAsia="zh-CN"/>
        </w:rPr>
        <w:t>（三）最终采购总量以甲方实际采购量和每批次实际成交单价为准，</w:t>
      </w:r>
      <w:r>
        <w:rPr>
          <w:rFonts w:hint="eastAsia" w:ascii="仿宋_GB2312" w:hAnsi="仿宋_GB2312" w:eastAsia="仿宋_GB2312" w:cs="仿宋_GB2312"/>
          <w:sz w:val="32"/>
          <w:szCs w:val="32"/>
        </w:rPr>
        <w:t>无论实际采购量与预估量存在何种差异，双方均无需另行签订补充协议，统一按各批次采购合同约定的采购量和成交价进行结算。</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rPr>
      </w:pPr>
      <w:r>
        <w:rPr>
          <w:rFonts w:hint="eastAsia" w:ascii="仿宋_GB2312" w:hAnsi="仿宋_GB2312" w:eastAsia="仿宋_GB2312" w:cs="仿宋_GB2312"/>
          <w:b/>
          <w:bCs/>
          <w:sz w:val="32"/>
          <w:szCs w:val="32"/>
          <w:lang w:val="en-US" w:eastAsia="zh-CN"/>
        </w:rPr>
        <w:t>四</w:t>
      </w:r>
      <w:r>
        <w:rPr>
          <w:rFonts w:hint="eastAsia" w:ascii="仿宋_GB2312" w:hAnsi="仿宋_GB2312" w:eastAsia="仿宋_GB2312" w:cs="仿宋_GB2312"/>
          <w:b/>
          <w:bCs/>
          <w:sz w:val="32"/>
          <w:szCs w:val="32"/>
        </w:rPr>
        <w:t>、合作期限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本协议有效期即乙方入库资格有效期为2026年</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日起</w:t>
      </w:r>
      <w:r>
        <w:rPr>
          <w:rFonts w:hint="eastAsia" w:ascii="仿宋_GB2312" w:hAnsi="仿宋_GB2312" w:eastAsia="仿宋_GB2312" w:cs="仿宋_GB2312"/>
          <w:sz w:val="32"/>
          <w:szCs w:val="32"/>
          <w:lang w:val="en-US" w:eastAsia="zh-CN"/>
        </w:rPr>
        <w:t>至2027年11月30日，</w:t>
      </w:r>
      <w:r>
        <w:rPr>
          <w:rFonts w:hint="eastAsia" w:ascii="仿宋_GB2312" w:hAnsi="仿宋_GB2312" w:eastAsia="仿宋_GB2312" w:cs="仿宋_GB2312"/>
          <w:sz w:val="32"/>
          <w:szCs w:val="32"/>
        </w:rPr>
        <w:t>具体批次采购项目的开展时间</w:t>
      </w:r>
      <w:r>
        <w:rPr>
          <w:rFonts w:hint="eastAsia" w:ascii="仿宋_GB2312" w:hAnsi="仿宋_GB2312" w:eastAsia="仿宋_GB2312" w:cs="仿宋_GB2312"/>
          <w:sz w:val="32"/>
          <w:szCs w:val="32"/>
          <w:lang w:val="en-US" w:eastAsia="zh-CN"/>
        </w:rPr>
        <w:t>以甲方发布的采购通知为准</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本协议</w:t>
      </w:r>
      <w:r>
        <w:rPr>
          <w:rFonts w:hint="eastAsia" w:ascii="仿宋_GB2312" w:hAnsi="仿宋_GB2312" w:eastAsia="仿宋_GB2312" w:cs="仿宋_GB2312"/>
          <w:sz w:val="32"/>
          <w:szCs w:val="32"/>
        </w:rPr>
        <w:t>到期后，</w:t>
      </w:r>
      <w:r>
        <w:rPr>
          <w:rFonts w:hint="eastAsia" w:ascii="仿宋_GB2312" w:hAnsi="仿宋_GB2312" w:eastAsia="仿宋_GB2312" w:cs="仿宋_GB2312"/>
          <w:sz w:val="32"/>
          <w:szCs w:val="32"/>
          <w:lang w:val="en-US" w:eastAsia="zh-CN"/>
        </w:rPr>
        <w:t>甲乙双方自动解除合作关系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如因甲方原因需变更或解除本协议的，乙方应予以配合，甲方于本协议解除之日起30天内无息退还乙方前期缴纳的入库履约保证金。</w:t>
      </w:r>
    </w:p>
    <w:p>
      <w:pPr>
        <w:pStyle w:val="2"/>
        <w:spacing w:before="0" w:after="0"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b w:val="0"/>
          <w:bCs/>
          <w:sz w:val="32"/>
          <w:szCs w:val="32"/>
        </w:rPr>
        <w:t>甲方有权在协议有效期内对入库供应商开展动态考核与年度复核，经复核不符合入库条件的，甲方有权提前终止乙方入库资格</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五、结算方式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本协议项下各批次的采购项目单独结算，</w:t>
      </w:r>
      <w:r>
        <w:rPr>
          <w:rFonts w:hint="eastAsia" w:ascii="仿宋_GB2312" w:hAnsi="仿宋_GB2312" w:eastAsia="仿宋_GB2312" w:cs="仿宋_GB2312"/>
          <w:sz w:val="32"/>
          <w:szCs w:val="32"/>
        </w:rPr>
        <w:t>结算周期、支付方式、开票要求等具体规则</w:t>
      </w:r>
      <w:r>
        <w:rPr>
          <w:rFonts w:hint="eastAsia" w:ascii="仿宋_GB2312" w:hAnsi="仿宋_GB2312" w:eastAsia="仿宋_GB2312" w:cs="仿宋_GB2312"/>
          <w:sz w:val="32"/>
          <w:szCs w:val="32"/>
          <w:lang w:val="en-US" w:eastAsia="zh-CN"/>
        </w:rPr>
        <w:t>以双方签订的对应批次采购合同约定为准。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eastAsia="zh-CN"/>
        </w:rPr>
        <w:t>六</w:t>
      </w:r>
      <w:r>
        <w:rPr>
          <w:rFonts w:hint="eastAsia" w:ascii="仿宋_GB2312" w:hAnsi="仿宋_GB2312" w:eastAsia="仿宋_GB2312" w:cs="仿宋_GB2312"/>
          <w:b/>
          <w:bCs/>
          <w:sz w:val="32"/>
          <w:szCs w:val="32"/>
        </w:rPr>
        <w:t>、</w:t>
      </w:r>
      <w:r>
        <w:rPr>
          <w:rFonts w:hint="eastAsia" w:ascii="仿宋_GB2312" w:hAnsi="仿宋_GB2312" w:eastAsia="仿宋_GB2312" w:cs="仿宋_GB2312"/>
          <w:b/>
          <w:bCs/>
          <w:sz w:val="32"/>
          <w:szCs w:val="32"/>
          <w:lang w:val="en-US" w:eastAsia="zh-CN"/>
        </w:rPr>
        <w:t>双方</w:t>
      </w:r>
      <w:r>
        <w:rPr>
          <w:rFonts w:hint="eastAsia" w:ascii="仿宋_GB2312" w:hAnsi="仿宋_GB2312" w:eastAsia="仿宋_GB2312" w:cs="仿宋_GB2312"/>
          <w:b/>
          <w:bCs/>
          <w:sz w:val="32"/>
          <w:szCs w:val="32"/>
        </w:rPr>
        <w:t>权利义务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甲方拥有对</w:t>
      </w:r>
      <w:r>
        <w:rPr>
          <w:rFonts w:hint="eastAsia" w:ascii="仿宋_GB2312" w:hAnsi="仿宋_GB2312" w:eastAsia="仿宋_GB2312" w:cs="仿宋_GB2312"/>
          <w:sz w:val="32"/>
          <w:szCs w:val="32"/>
          <w:lang w:val="en-US" w:eastAsia="zh-CN"/>
        </w:rPr>
        <w:t>各</w:t>
      </w:r>
      <w:r>
        <w:rPr>
          <w:rFonts w:hint="eastAsia" w:ascii="仿宋_GB2312" w:hAnsi="仿宋_GB2312" w:eastAsia="仿宋_GB2312" w:cs="仿宋_GB2312"/>
          <w:sz w:val="32"/>
          <w:szCs w:val="32"/>
        </w:rPr>
        <w:t>项目整体方向、重大决策的最终决定权，包括但不限于</w:t>
      </w:r>
      <w:r>
        <w:rPr>
          <w:rFonts w:hint="eastAsia" w:ascii="仿宋_GB2312" w:hAnsi="仿宋_GB2312" w:eastAsia="仿宋_GB2312" w:cs="仿宋_GB2312"/>
          <w:sz w:val="32"/>
          <w:szCs w:val="32"/>
          <w:lang w:val="en-US" w:eastAsia="zh-CN"/>
        </w:rPr>
        <w:t>项目的采购量</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合作期限、合作内容</w:t>
      </w:r>
      <w:r>
        <w:rPr>
          <w:rFonts w:hint="eastAsia" w:ascii="仿宋_GB2312" w:hAnsi="仿宋_GB2312" w:eastAsia="仿宋_GB2312" w:cs="仿宋_GB2312"/>
          <w:sz w:val="32"/>
          <w:szCs w:val="32"/>
        </w:rPr>
        <w:t>的变更。甲方有权根据项目进展和实际情况，对乙方的工作提出修改意见或要求。甲方负责合格供应商库的日常运营与管理，有权根据采购需求及供应商履约情况，调整入库供应商名单、暂停或恢复乙方的报价权限、更新库内管理规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甲方有权对乙方的</w:t>
      </w:r>
      <w:r>
        <w:rPr>
          <w:rFonts w:hint="eastAsia" w:ascii="仿宋_GB2312" w:hAnsi="仿宋_GB2312" w:eastAsia="仿宋_GB2312" w:cs="仿宋_GB2312"/>
          <w:sz w:val="32"/>
          <w:szCs w:val="32"/>
          <w:lang w:val="en-US" w:eastAsia="zh-CN"/>
        </w:rPr>
        <w:t>供货时限</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服务</w:t>
      </w:r>
      <w:r>
        <w:rPr>
          <w:rFonts w:hint="eastAsia" w:ascii="仿宋_GB2312" w:hAnsi="仿宋_GB2312" w:eastAsia="仿宋_GB2312" w:cs="仿宋_GB2312"/>
          <w:sz w:val="32"/>
          <w:szCs w:val="32"/>
        </w:rPr>
        <w:t>质量等方面进行监督和检查，确保乙方按照</w:t>
      </w:r>
      <w:r>
        <w:rPr>
          <w:rFonts w:hint="eastAsia" w:ascii="仿宋_GB2312" w:hAnsi="仿宋_GB2312" w:eastAsia="仿宋_GB2312" w:cs="仿宋_GB2312"/>
          <w:sz w:val="32"/>
          <w:szCs w:val="32"/>
          <w:lang w:val="en-US" w:eastAsia="zh-CN"/>
        </w:rPr>
        <w:t>各具体采购合同</w:t>
      </w:r>
      <w:r>
        <w:rPr>
          <w:rFonts w:hint="eastAsia" w:ascii="仿宋_GB2312" w:hAnsi="仿宋_GB2312" w:eastAsia="仿宋_GB2312" w:cs="仿宋_GB2312"/>
          <w:sz w:val="32"/>
          <w:szCs w:val="32"/>
        </w:rPr>
        <w:t>要求执行。乙方应接受甲方的监督和检查，确保符合合同要求</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甲方有权对项目</w:t>
      </w:r>
      <w:r>
        <w:rPr>
          <w:rFonts w:hint="eastAsia" w:ascii="仿宋_GB2312" w:hAnsi="仿宋_GB2312" w:eastAsia="仿宋_GB2312" w:cs="仿宋_GB2312"/>
          <w:sz w:val="32"/>
          <w:szCs w:val="32"/>
          <w:lang w:val="en-US" w:eastAsia="zh-CN"/>
        </w:rPr>
        <w:t>进行阶段性考核</w:t>
      </w:r>
      <w:r>
        <w:rPr>
          <w:rFonts w:hint="eastAsia" w:ascii="仿宋_GB2312" w:hAnsi="仿宋_GB2312" w:eastAsia="仿宋_GB2312" w:cs="仿宋_GB2312"/>
          <w:sz w:val="32"/>
          <w:szCs w:val="32"/>
        </w:rPr>
        <w:t>和评估，</w:t>
      </w:r>
      <w:r>
        <w:rPr>
          <w:rFonts w:hint="eastAsia" w:ascii="仿宋_GB2312" w:hAnsi="仿宋_GB2312" w:eastAsia="仿宋_GB2312" w:cs="仿宋_GB2312"/>
          <w:sz w:val="32"/>
          <w:szCs w:val="32"/>
          <w:lang w:val="en-US" w:eastAsia="zh-CN"/>
        </w:rPr>
        <w:t>并根据阶段性考核</w:t>
      </w:r>
      <w:r>
        <w:rPr>
          <w:rFonts w:hint="eastAsia" w:ascii="仿宋_GB2312" w:hAnsi="仿宋_GB2312" w:eastAsia="仿宋_GB2312" w:cs="仿宋_GB2312"/>
          <w:sz w:val="32"/>
          <w:szCs w:val="32"/>
        </w:rPr>
        <w:t>和评估</w:t>
      </w:r>
      <w:r>
        <w:rPr>
          <w:rFonts w:hint="eastAsia" w:ascii="仿宋_GB2312" w:hAnsi="仿宋_GB2312" w:eastAsia="仿宋_GB2312" w:cs="仿宋_GB2312"/>
          <w:sz w:val="32"/>
          <w:szCs w:val="32"/>
          <w:lang w:val="en-US" w:eastAsia="zh-CN"/>
        </w:rPr>
        <w:t>确定本协议后续的合作模式、合作内容</w:t>
      </w:r>
      <w:r>
        <w:rPr>
          <w:rFonts w:hint="eastAsia" w:ascii="仿宋_GB2312" w:hAnsi="仿宋_GB2312" w:eastAsia="仿宋_GB2312" w:cs="仿宋_GB2312"/>
          <w:sz w:val="32"/>
          <w:szCs w:val="32"/>
        </w:rPr>
        <w:t>。甲方有权对乙方的入库资格进行定期复审与动态评价，评价结果作为乙方后续参与报价、资格续期的核心依据。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甲方应</w:t>
      </w:r>
      <w:r>
        <w:rPr>
          <w:rFonts w:hint="eastAsia" w:ascii="仿宋_GB2312" w:hAnsi="仿宋_GB2312" w:eastAsia="仿宋_GB2312" w:cs="仿宋_GB2312"/>
          <w:sz w:val="32"/>
          <w:szCs w:val="32"/>
          <w:lang w:val="en-US" w:eastAsia="zh-CN"/>
        </w:rPr>
        <w:t>向</w:t>
      </w:r>
      <w:r>
        <w:rPr>
          <w:rFonts w:hint="eastAsia" w:ascii="仿宋_GB2312" w:hAnsi="仿宋_GB2312" w:eastAsia="仿宋_GB2312" w:cs="仿宋_GB2312"/>
          <w:sz w:val="32"/>
          <w:szCs w:val="32"/>
        </w:rPr>
        <w:t>乙方提供</w:t>
      </w:r>
      <w:r>
        <w:rPr>
          <w:rFonts w:hint="eastAsia" w:ascii="仿宋_GB2312" w:hAnsi="仿宋_GB2312" w:eastAsia="仿宋_GB2312" w:cs="仿宋_GB2312"/>
          <w:sz w:val="32"/>
          <w:szCs w:val="32"/>
          <w:lang w:val="en-US" w:eastAsia="zh-CN"/>
        </w:rPr>
        <w:t>执行各个批次采购合同约定</w:t>
      </w:r>
      <w:r>
        <w:rPr>
          <w:rFonts w:hint="eastAsia" w:ascii="仿宋_GB2312" w:hAnsi="仿宋_GB2312" w:eastAsia="仿宋_GB2312" w:cs="仿宋_GB2312"/>
          <w:sz w:val="32"/>
          <w:szCs w:val="32"/>
        </w:rPr>
        <w:t>所需的必要条件，包括但不限于</w:t>
      </w:r>
      <w:r>
        <w:rPr>
          <w:rFonts w:hint="eastAsia" w:ascii="仿宋_GB2312" w:hAnsi="仿宋_GB2312" w:eastAsia="仿宋_GB2312" w:cs="仿宋_GB2312"/>
          <w:sz w:val="32"/>
          <w:szCs w:val="32"/>
          <w:lang w:val="en-US" w:eastAsia="zh-CN"/>
        </w:rPr>
        <w:t>供货计划</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场地</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水路临时装载点、文件资料</w:t>
      </w:r>
      <w:r>
        <w:rPr>
          <w:rFonts w:hint="eastAsia" w:ascii="仿宋_GB2312" w:hAnsi="仿宋_GB2312" w:eastAsia="仿宋_GB2312" w:cs="仿宋_GB2312"/>
          <w:sz w:val="32"/>
          <w:szCs w:val="32"/>
        </w:rPr>
        <w:t>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甲方积极配合乙方的工作，提供必要的协助和支持，确保</w:t>
      </w:r>
      <w:r>
        <w:rPr>
          <w:rFonts w:hint="eastAsia" w:ascii="仿宋_GB2312" w:hAnsi="仿宋_GB2312" w:eastAsia="仿宋_GB2312" w:cs="仿宋_GB2312"/>
          <w:sz w:val="32"/>
          <w:szCs w:val="32"/>
          <w:lang w:val="en-US" w:eastAsia="zh-CN"/>
        </w:rPr>
        <w:t>各批次采购工作</w:t>
      </w:r>
      <w:r>
        <w:rPr>
          <w:rFonts w:hint="eastAsia" w:ascii="仿宋_GB2312" w:hAnsi="仿宋_GB2312" w:eastAsia="仿宋_GB2312" w:cs="仿宋_GB2312"/>
          <w:sz w:val="32"/>
          <w:szCs w:val="32"/>
        </w:rPr>
        <w:t>顺利进行。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乙方</w:t>
      </w:r>
      <w:r>
        <w:rPr>
          <w:rFonts w:hint="eastAsia" w:ascii="仿宋_GB2312" w:hAnsi="仿宋_GB2312" w:eastAsia="仿宋_GB2312" w:cs="仿宋_GB2312"/>
          <w:sz w:val="32"/>
          <w:szCs w:val="32"/>
          <w:lang w:val="en-US" w:eastAsia="zh-CN"/>
        </w:rPr>
        <w:t>应</w:t>
      </w:r>
      <w:r>
        <w:rPr>
          <w:rFonts w:hint="eastAsia" w:ascii="仿宋_GB2312" w:hAnsi="仿宋_GB2312" w:eastAsia="仿宋_GB2312" w:cs="仿宋_GB2312"/>
          <w:sz w:val="32"/>
          <w:szCs w:val="32"/>
        </w:rPr>
        <w:t>按照</w:t>
      </w:r>
      <w:r>
        <w:rPr>
          <w:rFonts w:hint="eastAsia" w:ascii="仿宋_GB2312" w:hAnsi="仿宋_GB2312" w:eastAsia="仿宋_GB2312" w:cs="仿宋_GB2312"/>
          <w:sz w:val="32"/>
          <w:szCs w:val="32"/>
          <w:lang w:val="en-US" w:eastAsia="zh-CN"/>
        </w:rPr>
        <w:t>具各批次采购合同的</w:t>
      </w:r>
      <w:r>
        <w:rPr>
          <w:rFonts w:hint="eastAsia" w:ascii="仿宋_GB2312" w:hAnsi="仿宋_GB2312" w:eastAsia="仿宋_GB2312" w:cs="仿宋_GB2312"/>
          <w:sz w:val="32"/>
          <w:szCs w:val="32"/>
        </w:rPr>
        <w:t>约定，组织</w:t>
      </w:r>
      <w:r>
        <w:rPr>
          <w:rFonts w:hint="eastAsia" w:ascii="仿宋_GB2312" w:hAnsi="仿宋_GB2312" w:eastAsia="仿宋_GB2312" w:cs="仿宋_GB2312"/>
          <w:sz w:val="32"/>
          <w:szCs w:val="32"/>
          <w:lang w:val="en-US" w:eastAsia="zh-CN"/>
        </w:rPr>
        <w:t>原料、</w:t>
      </w:r>
      <w:r>
        <w:rPr>
          <w:rFonts w:hint="eastAsia" w:ascii="仿宋_GB2312" w:hAnsi="仿宋_GB2312" w:eastAsia="仿宋_GB2312" w:cs="仿宋_GB2312"/>
          <w:sz w:val="32"/>
          <w:szCs w:val="32"/>
        </w:rPr>
        <w:t>人员、设备等资源，</w:t>
      </w:r>
      <w:r>
        <w:rPr>
          <w:rFonts w:hint="eastAsia" w:ascii="仿宋_GB2312" w:hAnsi="仿宋_GB2312" w:eastAsia="仿宋_GB2312" w:cs="仿宋_GB2312"/>
          <w:sz w:val="32"/>
          <w:szCs w:val="32"/>
          <w:lang w:val="en-US" w:eastAsia="zh-CN"/>
        </w:rPr>
        <w:t>协调海事、交通、环保、住建等政府单位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并</w:t>
      </w:r>
      <w:r>
        <w:rPr>
          <w:rFonts w:hint="eastAsia" w:ascii="仿宋_GB2312" w:hAnsi="仿宋_GB2312" w:eastAsia="仿宋_GB2312" w:cs="仿宋_GB2312"/>
          <w:sz w:val="32"/>
          <w:szCs w:val="32"/>
        </w:rPr>
        <w:t>按照</w:t>
      </w:r>
      <w:r>
        <w:rPr>
          <w:rFonts w:hint="eastAsia" w:ascii="仿宋_GB2312" w:hAnsi="仿宋_GB2312" w:eastAsia="仿宋_GB2312" w:cs="仿宋_GB2312"/>
          <w:sz w:val="32"/>
          <w:szCs w:val="32"/>
          <w:lang w:val="en-US" w:eastAsia="zh-CN"/>
        </w:rPr>
        <w:t>各批次</w:t>
      </w:r>
      <w:r>
        <w:rPr>
          <w:rFonts w:hint="eastAsia" w:ascii="仿宋_GB2312" w:hAnsi="仿宋_GB2312" w:eastAsia="仿宋_GB2312" w:cs="仿宋_GB2312"/>
          <w:sz w:val="32"/>
          <w:szCs w:val="32"/>
        </w:rPr>
        <w:t>合同约定的时间、质量标准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数量</w:t>
      </w:r>
      <w:r>
        <w:rPr>
          <w:rFonts w:hint="eastAsia" w:ascii="仿宋_GB2312" w:hAnsi="仿宋_GB2312" w:eastAsia="仿宋_GB2312" w:cs="仿宋_GB2312"/>
          <w:sz w:val="32"/>
          <w:szCs w:val="32"/>
        </w:rPr>
        <w:t>，完成</w:t>
      </w:r>
      <w:r>
        <w:rPr>
          <w:rFonts w:hint="eastAsia" w:ascii="仿宋_GB2312" w:hAnsi="仿宋_GB2312" w:eastAsia="仿宋_GB2312" w:cs="仿宋_GB2312"/>
          <w:sz w:val="32"/>
          <w:szCs w:val="32"/>
          <w:lang w:val="en-US" w:eastAsia="zh-CN"/>
        </w:rPr>
        <w:t>各批次的供货</w:t>
      </w:r>
      <w:r>
        <w:rPr>
          <w:rFonts w:hint="eastAsia" w:ascii="仿宋_GB2312" w:hAnsi="仿宋_GB2312" w:eastAsia="仿宋_GB2312" w:cs="仿宋_GB2312"/>
          <w:sz w:val="32"/>
          <w:szCs w:val="32"/>
        </w:rPr>
        <w:t>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乙方应确保入库时提交的所有资质、砂源、授权等文件真实有效；相关信息发生变更的，应在 3 个工作日内书面告知甲方，未及时告知造成的一切损失由乙方承担。</w:t>
      </w:r>
    </w:p>
    <w:p>
      <w:pPr>
        <w:spacing w:line="560" w:lineRule="exact"/>
        <w:ind w:firstLine="48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（七）</w:t>
      </w:r>
      <w:r>
        <w:rPr>
          <w:rFonts w:hint="eastAsia" w:ascii="仿宋_GB2312" w:hAnsi="仿宋_GB2312" w:eastAsia="仿宋_GB2312" w:cs="仿宋_GB2312"/>
          <w:sz w:val="32"/>
          <w:szCs w:val="32"/>
          <w:lang w:val="en-US" w:eastAsia="zh-CN"/>
        </w:rPr>
        <w:t>若</w:t>
      </w:r>
      <w:r>
        <w:rPr>
          <w:rFonts w:hint="eastAsia" w:ascii="仿宋_GB2312" w:hAnsi="宋体" w:eastAsia="仿宋_GB2312"/>
          <w:sz w:val="32"/>
          <w:szCs w:val="32"/>
          <w:u w:val="none"/>
        </w:rPr>
        <w:fldChar w:fldCharType="begin">
          <w:ffData>
            <w:name w:val="Text2"/>
            <w:enabled/>
            <w:calcOnExit w:val="0"/>
            <w:textInput/>
          </w:ffData>
        </w:fldChar>
      </w:r>
      <w:r>
        <w:rPr>
          <w:rFonts w:hint="eastAsia" w:ascii="仿宋_GB2312" w:hAnsi="宋体" w:eastAsia="仿宋_GB2312"/>
          <w:sz w:val="32"/>
          <w:szCs w:val="32"/>
          <w:u w:val="none"/>
        </w:rPr>
        <w:instrText xml:space="preserve">FORMTEXT</w:instrText>
      </w:r>
      <w:r>
        <w:rPr>
          <w:rFonts w:hint="eastAsia" w:ascii="仿宋_GB2312" w:hAnsi="宋体" w:eastAsia="仿宋_GB2312"/>
          <w:sz w:val="32"/>
          <w:szCs w:val="32"/>
          <w:u w:val="none"/>
        </w:rPr>
        <w:fldChar w:fldCharType="separate"/>
      </w:r>
      <w:r>
        <w:rPr>
          <w:rFonts w:hint="default" w:ascii="仿宋_GB2312" w:hAnsi="宋体" w:eastAsia="仿宋_GB2312"/>
          <w:sz w:val="32"/>
          <w:szCs w:val="32"/>
          <w:u w:val="none"/>
          <w:lang w:val="en-US"/>
        </w:rPr>
        <w:t>     </w:t>
      </w:r>
      <w:r>
        <w:rPr>
          <w:rFonts w:hint="eastAsia" w:ascii="仿宋_GB2312" w:hAnsi="宋体" w:eastAsia="仿宋_GB2312"/>
          <w:sz w:val="32"/>
          <w:szCs w:val="32"/>
          <w:u w:val="none"/>
        </w:rPr>
        <w:fldChar w:fldCharType="end"/>
      </w:r>
      <w:r>
        <w:rPr>
          <w:rFonts w:hint="eastAsia" w:ascii="仿宋_GB2312" w:hAnsi="仿宋_GB2312" w:eastAsia="仿宋_GB2312" w:cs="仿宋_GB2312"/>
          <w:sz w:val="32"/>
          <w:szCs w:val="32"/>
          <w:u w:val="none"/>
          <w:lang w:val="en-US" w:eastAsia="zh-CN"/>
        </w:rPr>
        <w:t>市</w:t>
      </w:r>
      <w:r>
        <w:rPr>
          <w:rFonts w:hint="eastAsia" w:ascii="仿宋_GB2312" w:hAnsi="宋体" w:eastAsia="仿宋_GB2312"/>
          <w:sz w:val="32"/>
          <w:szCs w:val="32"/>
          <w:u w:val="none"/>
        </w:rPr>
        <w:fldChar w:fldCharType="begin">
          <w:ffData>
            <w:name w:val="Text2"/>
            <w:enabled/>
            <w:calcOnExit w:val="0"/>
            <w:textInput/>
          </w:ffData>
        </w:fldChar>
      </w:r>
      <w:r>
        <w:rPr>
          <w:rFonts w:hint="eastAsia" w:ascii="仿宋_GB2312" w:hAnsi="宋体" w:eastAsia="仿宋_GB2312"/>
          <w:sz w:val="32"/>
          <w:szCs w:val="32"/>
          <w:u w:val="none"/>
        </w:rPr>
        <w:instrText xml:space="preserve">FORMTEXT</w:instrText>
      </w:r>
      <w:r>
        <w:rPr>
          <w:rFonts w:hint="eastAsia" w:ascii="仿宋_GB2312" w:hAnsi="宋体" w:eastAsia="仿宋_GB2312"/>
          <w:sz w:val="32"/>
          <w:szCs w:val="32"/>
          <w:u w:val="none"/>
        </w:rPr>
        <w:fldChar w:fldCharType="separate"/>
      </w:r>
      <w:r>
        <w:rPr>
          <w:rFonts w:hint="default" w:ascii="仿宋_GB2312" w:hAnsi="宋体" w:eastAsia="仿宋_GB2312"/>
          <w:sz w:val="32"/>
          <w:szCs w:val="32"/>
          <w:u w:val="none"/>
          <w:lang w:val="en-US"/>
        </w:rPr>
        <w:t>   </w:t>
      </w:r>
      <w:r>
        <w:rPr>
          <w:rFonts w:hint="eastAsia" w:ascii="仿宋_GB2312" w:hAnsi="宋体" w:eastAsia="仿宋_GB2312"/>
          <w:sz w:val="32"/>
          <w:szCs w:val="32"/>
          <w:u w:val="none"/>
          <w:lang w:val="en-US" w:eastAsia="zh-CN"/>
        </w:rPr>
        <w:t xml:space="preserve">              </w:t>
      </w:r>
      <w:r>
        <w:rPr>
          <w:rFonts w:hint="default" w:ascii="仿宋_GB2312" w:hAnsi="宋体" w:eastAsia="仿宋_GB2312"/>
          <w:sz w:val="32"/>
          <w:szCs w:val="32"/>
          <w:u w:val="none"/>
          <w:lang w:val="en-US"/>
        </w:rPr>
        <w:t>  </w:t>
      </w:r>
      <w:r>
        <w:rPr>
          <w:rFonts w:hint="eastAsia" w:ascii="仿宋_GB2312" w:hAnsi="宋体" w:eastAsia="仿宋_GB2312"/>
          <w:sz w:val="32"/>
          <w:szCs w:val="32"/>
          <w:u w:val="none"/>
        </w:rPr>
        <w:fldChar w:fldCharType="end"/>
      </w:r>
      <w:r>
        <w:rPr>
          <w:rFonts w:hint="eastAsia" w:ascii="仿宋_GB2312" w:hAnsi="仿宋_GB2312" w:eastAsia="仿宋_GB2312" w:cs="仿宋_GB2312"/>
          <w:sz w:val="32"/>
          <w:szCs w:val="32"/>
          <w:u w:val="none"/>
          <w:lang w:val="en-US" w:eastAsia="zh-CN"/>
        </w:rPr>
        <w:t>（海砂矿区或标段）</w:t>
      </w:r>
      <w:r>
        <w:rPr>
          <w:rFonts w:hint="eastAsia" w:ascii="仿宋_GB2312" w:hAnsi="仿宋_GB2312" w:eastAsia="仿宋_GB2312" w:cs="仿宋_GB2312"/>
          <w:sz w:val="32"/>
          <w:szCs w:val="32"/>
          <w:lang w:val="en-US" w:eastAsia="zh-CN"/>
        </w:rPr>
        <w:t>因政策调整、资源枯竭、许可证到期等原因、乙方开采或授权到期、当地政府政策调整等原因的无法继续合法正常开采和销售的，乙方的入库供应商资格自动暂停或终止，甲方有权取消其已承接的未执行的批次采购计划。</w:t>
      </w:r>
      <w:r>
        <w:rPr>
          <w:rFonts w:hint="eastAsia" w:ascii="仿宋_GB2312" w:hAnsi="仿宋_GB2312" w:eastAsia="仿宋_GB2312" w:cs="仿宋_GB2312"/>
          <w:sz w:val="32"/>
          <w:szCs w:val="32"/>
          <w:lang w:eastAsia="zh-CN"/>
        </w:rPr>
        <w:t>。</w:t>
      </w:r>
    </w:p>
    <w:p>
      <w:pPr>
        <w:pStyle w:val="5"/>
        <w:ind w:firstLine="643" w:firstLineChars="200"/>
        <w:rPr>
          <w:rFonts w:hint="eastAsia" w:ascii="仿宋_GB2312" w:hAnsi="宋体" w:eastAsia="仿宋_GB2312"/>
          <w:b/>
          <w:bCs/>
          <w:sz w:val="32"/>
          <w:szCs w:val="32"/>
        </w:rPr>
      </w:pPr>
      <w:r>
        <w:rPr>
          <w:rFonts w:hint="eastAsia" w:ascii="仿宋_GB2312" w:hAnsi="仿宋_GB2312" w:eastAsia="仿宋_GB2312" w:cs="仿宋_GB2312"/>
          <w:b/>
          <w:bCs/>
          <w:sz w:val="32"/>
          <w:szCs w:val="32"/>
          <w:lang w:eastAsia="zh-CN"/>
        </w:rPr>
        <w:t>七</w:t>
      </w:r>
      <w:r>
        <w:rPr>
          <w:rFonts w:hint="eastAsia" w:ascii="仿宋_GB2312" w:hAnsi="仿宋_GB2312" w:eastAsia="仿宋_GB2312" w:cs="仿宋_GB2312"/>
          <w:b/>
          <w:bCs/>
          <w:sz w:val="32"/>
          <w:szCs w:val="32"/>
        </w:rPr>
        <w:t>、</w:t>
      </w:r>
      <w:r>
        <w:rPr>
          <w:rFonts w:hint="eastAsia" w:ascii="仿宋_GB2312" w:hAnsi="宋体" w:eastAsia="仿宋_GB2312"/>
          <w:b/>
          <w:bCs/>
          <w:sz w:val="32"/>
          <w:szCs w:val="32"/>
        </w:rPr>
        <w:t>计量单位和方法</w:t>
      </w:r>
    </w:p>
    <w:p>
      <w:pPr>
        <w:wordWrap w:val="0"/>
        <w:spacing w:line="560" w:lineRule="exact"/>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（一）海砂原材料按重量进行计量，计量单位为吨；海砂原材料交货计量时，可用汽车地量衡或船舶吃水线或船舱容方量为依据进行初步测定，计算公式如下，：</w:t>
      </w:r>
    </w:p>
    <w:p>
      <w:pPr>
        <w:wordWrap w:val="0"/>
        <w:spacing w:line="560" w:lineRule="exact"/>
        <w:ind w:firstLine="640" w:firstLineChars="200"/>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1、按吃水线计算</w:t>
      </w:r>
    </w:p>
    <w:p>
      <w:pPr>
        <w:wordWrap w:val="0"/>
        <w:spacing w:line="560" w:lineRule="exact"/>
        <w:ind w:firstLine="640" w:firstLineChars="200"/>
        <w:rPr>
          <w:rFonts w:hint="default"/>
          <w:lang w:val="en-US" w:eastAsia="zh-CN"/>
        </w:rPr>
      </w:pPr>
      <w:r>
        <w:rPr>
          <w:rFonts w:hint="eastAsia" w:ascii="仿宋_GB2312" w:hAnsi="宋体" w:eastAsia="仿宋_GB2312"/>
          <w:sz w:val="32"/>
          <w:szCs w:val="32"/>
          <w:lang w:val="en-US" w:eastAsia="zh-CN"/>
        </w:rPr>
        <w:t>载货吨数 = 船长×船宽×（负载吃水高度-空载吃水高度）×方模系数-油水吨数</w:t>
      </w:r>
    </w:p>
    <w:p>
      <w:pPr>
        <w:wordWrap w:val="0"/>
        <w:spacing w:line="560" w:lineRule="exact"/>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（1）船长、船宽、空载吃水高度三项数据按《船舶安全与环保设备记录》上数据为准；</w:t>
      </w:r>
    </w:p>
    <w:p>
      <w:pPr>
        <w:wordWrap w:val="0"/>
        <w:spacing w:line="560" w:lineRule="exact"/>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（2）方模系数：直板运沙船0.85、圆舭老沙船0.75；</w:t>
      </w:r>
    </w:p>
    <w:p>
      <w:pPr>
        <w:wordWrap w:val="0"/>
        <w:spacing w:line="560" w:lineRule="exact"/>
        <w:ind w:firstLine="640" w:firstLineChars="200"/>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（3）油水吨数:40吨。</w:t>
      </w:r>
    </w:p>
    <w:p>
      <w:pPr>
        <w:wordWrap w:val="0"/>
        <w:spacing w:line="560" w:lineRule="exact"/>
        <w:ind w:firstLine="640" w:firstLineChars="200"/>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2、按舱容方量折算</w:t>
      </w:r>
    </w:p>
    <w:p>
      <w:pPr>
        <w:wordWrap w:val="0"/>
        <w:spacing w:line="560" w:lineRule="exact"/>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载货吨数=舱内长×舱内宽×装货高度×舱型系数×砂石密度</w:t>
      </w:r>
    </w:p>
    <w:p>
      <w:pPr>
        <w:wordWrap w:val="0"/>
        <w:spacing w:line="560" w:lineRule="exact"/>
        <w:ind w:firstLine="640" w:firstLineChars="200"/>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（1）砂石密度：干砂1.40吨/立方米、湿砂1.53 吨/立方米，最终按采购人检测报告列明密度为准；</w:t>
      </w:r>
    </w:p>
    <w:p>
      <w:pPr>
        <w:wordWrap w:val="0"/>
        <w:spacing w:line="560" w:lineRule="exact"/>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（2）平直舱型系数：系数0.94；两头收窄沙船舱型系数：0.88；</w:t>
      </w:r>
    </w:p>
    <w:p>
      <w:pPr>
        <w:pStyle w:val="5"/>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（3）舱内长、舱内宽两项数据按《船舶安全与环保设备记录》上数据为准。</w:t>
      </w:r>
    </w:p>
    <w:p>
      <w:pPr>
        <w:pStyle w:val="5"/>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3、用以上两种计算方法取其中的低值进行货物交货计量测定，最终以采购人机械的测定重量为准。</w:t>
      </w:r>
    </w:p>
    <w:p>
      <w:pPr>
        <w:keepNext w:val="0"/>
        <w:keepLines w:val="0"/>
        <w:pageBreakBefore w:val="0"/>
        <w:widowControl/>
        <w:kinsoku/>
        <w:wordWrap w:val="0"/>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bCs/>
          <w:sz w:val="32"/>
          <w:szCs w:val="32"/>
        </w:rPr>
      </w:pPr>
      <w:r>
        <w:rPr>
          <w:rFonts w:hint="eastAsia" w:ascii="仿宋_GB2312" w:hAnsi="宋体" w:eastAsia="仿宋_GB2312"/>
          <w:sz w:val="32"/>
          <w:szCs w:val="32"/>
          <w:lang w:val="en-US" w:eastAsia="zh-CN"/>
        </w:rPr>
        <w:t>（二）</w:t>
      </w:r>
      <w:r>
        <w:rPr>
          <w:rFonts w:hint="eastAsia" w:ascii="仿宋_GB2312" w:hAnsi="宋体" w:eastAsia="仿宋_GB2312"/>
          <w:sz w:val="32"/>
          <w:szCs w:val="32"/>
        </w:rPr>
        <w:t>交货数量的正负尾差、合理磅差和在途自然增（减）量规定及计算方法：以</w:t>
      </w:r>
      <w:r>
        <w:rPr>
          <w:rFonts w:hint="eastAsia" w:ascii="仿宋_GB2312" w:hAnsi="宋体" w:eastAsia="仿宋_GB2312"/>
          <w:sz w:val="32"/>
          <w:szCs w:val="32"/>
          <w:lang w:val="en-US" w:eastAsia="zh-CN"/>
        </w:rPr>
        <w:t>采购人与供应商双方</w:t>
      </w:r>
      <w:r>
        <w:rPr>
          <w:rFonts w:hint="eastAsia" w:ascii="仿宋_GB2312" w:hAnsi="宋体" w:eastAsia="仿宋_GB2312"/>
          <w:sz w:val="32"/>
          <w:szCs w:val="32"/>
        </w:rPr>
        <w:t>共同签认数量为准</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按实际交付量进行结算。</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八、</w:t>
      </w:r>
      <w:r>
        <w:rPr>
          <w:rFonts w:hint="eastAsia" w:ascii="仿宋_GB2312" w:hAnsi="仿宋_GB2312" w:eastAsia="仿宋_GB2312" w:cs="仿宋_GB2312"/>
          <w:b/>
          <w:bCs/>
          <w:sz w:val="32"/>
          <w:szCs w:val="32"/>
          <w:lang w:val="en-US" w:eastAsia="zh-CN"/>
        </w:rPr>
        <w:t>退出机制</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（一）取消乙方入库供应商资格的情形</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出现以下情形之一的，甲方有权单方面取消乙方入库供应商资格、终止本协议及具体批次采购合同，并视情况扣除部分或全部乙方前期缴纳的入库履约保证金；造成甲方损失的，乙方应另行赔偿：</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1、供货违约： 除甲方书面同意外，因乙方未按甲方要求的供货数量、时间节点、标准要求完成供货的而造成甲方损失的，视为供货违约。在合作期内首次违约的，甲方向乙方发出一次履约负面评价警告，拒收货物，并由乙方承担相应的法律责任和经济损失；在同一在合作期内出现2次（含）以上供货违约的，甲方有权单方面取消其入库供应商资格和当前项目供应商资格并扣除全部入库履约保证金。</w:t>
      </w:r>
    </w:p>
    <w:p>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2、擅自变更矿区/标段</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乙方严禁未经甲方书面同意擅自变更供应矿区/标段。如确因原矿区/标段无法满足供货需求且没有备案后备矿区/标段而需变更的，乙方须提前提出书面申请，说明原因，并提交与矿区/标段的合法权属证明、质量检测报告，经甲方书面同意及审核通过后方可变更。</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（2）未经甲方书面同意擅自变更的，每次甲方有权从入库履约保证金中或货款中扣除1万元作为违约金，且乙方需于5个工作日内补足保证金并赔偿因此给甲方造成的所有直接及间接损失。</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（3）超过2次（含）擅自变更的，甲方有权单方面取消乙方入库供应商资格和当前批次采购项目供应商资格并扣除全部入库履约保证金。</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3、质量不合格</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（1）甲方有权在原材料到场前或到场后按批次进行质量抽检，亦有权委托第三方检测机构进行不定期的飞行抽检。</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（2）如材料出现质量问题（包括但不限于海砂氯离子含量超标、含泥量超标等），给甲方造成的一切损失由乙方负责。</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（3）因货物质量问题发生争议时，</w:t>
      </w:r>
      <w:r>
        <w:rPr>
          <w:rFonts w:hint="eastAsia" w:ascii="仿宋_GB2312" w:hAnsi="宋体" w:eastAsia="仿宋_GB2312"/>
          <w:sz w:val="32"/>
          <w:szCs w:val="32"/>
        </w:rPr>
        <w:t>由佛山市建筑工程质量检测站按国家规定检验标准和方法，对产品进行检验。</w:t>
      </w:r>
      <w:r>
        <w:rPr>
          <w:rFonts w:hint="eastAsia" w:ascii="仿宋_GB2312" w:hAnsi="仿宋_GB2312" w:eastAsia="仿宋_GB2312" w:cs="仿宋_GB2312"/>
          <w:sz w:val="32"/>
          <w:szCs w:val="32"/>
          <w:lang w:val="en-US" w:eastAsia="zh-CN"/>
        </w:rPr>
        <w:t>货物符合质量标准的，鉴定费由甲方承担；不符合的，鉴定费由乙方承担。</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出现质量问题的，乙方须在不影响甲方生产使用的前提下，在规定的时间内补充符合要求的等量原材料至甲方指定地址；甲方按合同约定对不合格批次货物进行退货，由乙方负责清运，并负责所有清运费用。</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乙方出现因货物质量问题而导致甲方产生损失的，且不对货物进行更换处理的（甲方另外有要求的除外），甲方有权单方面取消乙方入库供应商资格和当前批次采购项目供应商资格并扣除全部入库履约保证金。</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验收不合格或配送不及时，经甲方确认的：乙方所提供的货物，验收不合格或未按时送达累计满3次（含）的，甲方有权单方面取消乙方入库供应商资格和当前批次采购项目供应商资格并扣除全部入库履约保证金。</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样板不符：乙方首次供货前，须提供一套样品（须标明砂源地信息）给甲方封样留存，经甲方书面认可后方可按此样板供货。如实际供货与样板质量明显不符，甲方有权拒收当批货物；累计3次（含）样板与实际供货不符的，经甲方确认的，甲方有权单方面取消乙方入库供应商资格和当前批次采购项目供应商资格并扣除全部入库履约保证金。</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信用及合规黑名单：乙方在合同期间被列入“信用中国”失信名单，或存在提供虚假材料、伪造溯源信息等弄虚作假行为的，甲方有权单方面取消乙方入库供应商资格和当前批次采购项目供应商资格并扣除全部入库履约保证金，情节严重的将依法追究法律责任。</w:t>
      </w:r>
    </w:p>
    <w:p>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乙方未在甲方要求的期限内（原则上不超过7个工作日）签订具体批次采购合同的，甲方有权单方面取消乙方入库供应商资格和当前批次采购项目供应商资格并扣除全部入库履约保证金。因甲方原因的情形除外。</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8、乙方无正当理由拒绝甲方或其委托的审计、监察机构对货源、生产现场、溯源档案等进行监督检查的。甲方有权单方面取消乙方入库供应商资格和当前批次采购项目供应商资格并扣除全部入库履约保证金。</w:t>
      </w:r>
    </w:p>
    <w:p>
      <w:pPr>
        <w:pStyle w:val="2"/>
        <w:spacing w:before="0" w:after="0" w:line="360" w:lineRule="auto"/>
        <w:ind w:firstLine="640" w:firstLineChars="200"/>
        <w:rPr>
          <w:rFonts w:hint="eastAsia" w:ascii="仿宋_GB2312" w:hAnsi="仿宋_GB2312" w:eastAsia="仿宋_GB2312" w:cs="仿宋_GB2312"/>
          <w:b w:val="0"/>
          <w:kern w:val="2"/>
          <w:sz w:val="32"/>
          <w:szCs w:val="32"/>
          <w:lang w:val="en-US" w:eastAsia="zh-CN"/>
        </w:rPr>
      </w:pPr>
      <w:r>
        <w:rPr>
          <w:rFonts w:hint="eastAsia" w:ascii="仿宋_GB2312" w:hAnsi="仿宋_GB2312" w:eastAsia="仿宋_GB2312" w:cs="仿宋_GB2312"/>
          <w:b w:val="0"/>
          <w:kern w:val="2"/>
          <w:sz w:val="32"/>
          <w:szCs w:val="32"/>
          <w:lang w:val="en-US" w:eastAsia="zh-CN"/>
        </w:rPr>
        <w:t>9、</w:t>
      </w:r>
      <w:r>
        <w:rPr>
          <w:rFonts w:hint="eastAsia" w:ascii="仿宋_GB2312" w:hAnsi="仿宋_GB2312" w:eastAsia="仿宋_GB2312" w:cs="仿宋_GB2312"/>
          <w:b w:val="0"/>
          <w:kern w:val="2"/>
          <w:sz w:val="32"/>
          <w:szCs w:val="32"/>
        </w:rPr>
        <w:t>乙方未按时缴纳保证金的，视为自动放弃入库及参与后续报价资格，并且应向甲方支付违约金5000元</w:t>
      </w:r>
      <w:r>
        <w:rPr>
          <w:rFonts w:hint="eastAsia" w:ascii="仿宋_GB2312" w:hAnsi="仿宋_GB2312" w:eastAsia="仿宋_GB2312" w:cs="仿宋_GB2312"/>
          <w:b w:val="0"/>
          <w:kern w:val="2"/>
          <w:sz w:val="32"/>
          <w:szCs w:val="32"/>
          <w:lang w:eastAsia="zh-CN"/>
        </w:rPr>
        <w:t>。</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10、乙方发生其他严重违反框架协议或具体采购合同约定，或有其他损害甲方利益行为的，甲方有权视情节轻重予以警告、暂停报价资格或取消供应商资格。</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（二）入库资格的暂停与恢复</w:t>
      </w: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乙方出现一般违规情形未达到取消资格标准的，甲方有权作出暂停入库报价资格的处理，暂停期限为1-6</w:t>
      </w:r>
      <w:r>
        <w:rPr>
          <w:rFonts w:hint="eastAsia" w:ascii="仿宋_GB2312" w:hAnsi="仿宋_GB2312" w:eastAsia="仿宋_GB2312" w:cs="仿宋_GB2312"/>
          <w:sz w:val="32"/>
          <w:szCs w:val="32"/>
          <w:lang w:val="en-US" w:eastAsia="zh-CN"/>
        </w:rPr>
        <w:t>个</w:t>
      </w:r>
      <w:r>
        <w:rPr>
          <w:rFonts w:hint="eastAsia" w:ascii="仿宋_GB2312" w:hAnsi="仿宋_GB2312" w:eastAsia="仿宋_GB2312" w:cs="仿宋_GB2312"/>
          <w:sz w:val="32"/>
          <w:szCs w:val="32"/>
        </w:rPr>
        <w:t>月。暂停期满后，乙方可提交整改报告申请恢复资格，经甲方审核通过后方可恢复库内报价权限。</w:t>
      </w:r>
    </w:p>
    <w:p>
      <w:p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九、甲方保留权利</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（一）甲方不承诺任何具体采购量，所有采购量以实际需求为准。</w:t>
      </w:r>
      <w:r>
        <w:rPr>
          <w:rFonts w:hint="eastAsia" w:ascii="仿宋_GB2312" w:hAnsi="仿宋_GB2312" w:eastAsia="仿宋_GB2312" w:cs="仿宋_GB2312"/>
          <w:sz w:val="32"/>
          <w:szCs w:val="32"/>
        </w:rPr>
        <w:t>本协议仅为入库资格协议，甲方无义务必须向乙方发出采购邀约，亦无义务保证乙方获得任何采购订单。</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（二）甲方有权根据业务发展战略调整、市场变化或政策变化，在提前20日书面通知乙方后终止本资格库，乙方需无条件接受，已发生的采购按合同约定继续履行。</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（三）乙方被取消资格后三年内不得参与甲方同类型产品的入库资格申请。</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（四）采购人保留对乙方在合作期间形成的溯源档案、质量记录、履约评价等信息进行留存的权利，乙方入库即视为同意甲方将相关履约信息用于后续采购评估及供应商管理。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十</w:t>
      </w:r>
      <w:r>
        <w:rPr>
          <w:rFonts w:hint="eastAsia" w:ascii="仿宋_GB2312" w:hAnsi="仿宋_GB2312" w:eastAsia="仿宋_GB2312" w:cs="仿宋_GB2312"/>
          <w:b/>
          <w:bCs/>
          <w:sz w:val="32"/>
          <w:szCs w:val="32"/>
        </w:rPr>
        <w:t>、保密条款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甲乙双方均应对双方的合作内容及有关数据和资料保密，不得提供、透露予任何第三人或许可第三人使用，亦不得将相关资料用于本合作项目以外的任何用途。双方并应负管理的责任使其全体员工或其他执行</w:t>
      </w:r>
      <w:r>
        <w:rPr>
          <w:rFonts w:hint="eastAsia" w:ascii="仿宋_GB2312" w:hAnsi="仿宋_GB2312" w:eastAsia="仿宋_GB2312" w:cs="仿宋_GB2312"/>
          <w:sz w:val="32"/>
          <w:szCs w:val="32"/>
          <w:lang w:eastAsia="zh-CN"/>
        </w:rPr>
        <w:t>本协议</w:t>
      </w:r>
      <w:r>
        <w:rPr>
          <w:rFonts w:hint="eastAsia" w:ascii="仿宋_GB2312" w:hAnsi="仿宋_GB2312" w:eastAsia="仿宋_GB2312" w:cs="仿宋_GB2312"/>
          <w:sz w:val="32"/>
          <w:szCs w:val="32"/>
        </w:rPr>
        <w:t>相关业务的人员，均遵守此项保密义务，如有违约情形，由违约方承担由此造成的损失。在本条中，“第三方”是指任何自然人、企业或其分支机构、代理、组织或其他实体，但不包括关联公司。关联公司是指双方的子公司、分公司、以及上述公司的权利义务继受人。</w:t>
      </w:r>
      <w:r>
        <w:rPr>
          <w:rFonts w:hint="eastAsia" w:ascii="仿宋_GB2312" w:hAnsi="仿宋_GB2312" w:eastAsia="仿宋_GB2312" w:cs="仿宋_GB2312"/>
          <w:sz w:val="32"/>
          <w:szCs w:val="32"/>
          <w:lang w:val="en-US" w:eastAsia="zh-CN"/>
        </w:rPr>
        <w:t>任何一方违反保密条款造成损失的，均应承担法律责任并进行赔偿。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（二）本保密条款的保密义务持续有效，不因本协议的解除、终止而免除。</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eastAsia="zh-CN"/>
        </w:rPr>
        <w:t>十一</w:t>
      </w:r>
      <w:r>
        <w:rPr>
          <w:rFonts w:hint="eastAsia" w:ascii="仿宋_GB2312" w:hAnsi="仿宋_GB2312" w:eastAsia="仿宋_GB2312" w:cs="仿宋_GB2312"/>
          <w:b/>
          <w:bCs/>
          <w:sz w:val="32"/>
          <w:szCs w:val="32"/>
        </w:rPr>
        <w:t>、争议解决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因</w:t>
      </w:r>
      <w:r>
        <w:rPr>
          <w:rFonts w:hint="eastAsia" w:ascii="仿宋_GB2312" w:hAnsi="仿宋_GB2312" w:eastAsia="仿宋_GB2312" w:cs="仿宋_GB2312"/>
          <w:sz w:val="32"/>
          <w:szCs w:val="32"/>
          <w:lang w:eastAsia="zh-CN"/>
        </w:rPr>
        <w:t>本协议</w:t>
      </w:r>
      <w:r>
        <w:rPr>
          <w:rFonts w:hint="eastAsia" w:ascii="仿宋_GB2312" w:hAnsi="仿宋_GB2312" w:eastAsia="仿宋_GB2312" w:cs="仿宋_GB2312"/>
          <w:sz w:val="32"/>
          <w:szCs w:val="32"/>
        </w:rPr>
        <w:t>引起的或与</w:t>
      </w:r>
      <w:r>
        <w:rPr>
          <w:rFonts w:hint="eastAsia" w:ascii="仿宋_GB2312" w:hAnsi="仿宋_GB2312" w:eastAsia="仿宋_GB2312" w:cs="仿宋_GB2312"/>
          <w:sz w:val="32"/>
          <w:szCs w:val="32"/>
          <w:lang w:eastAsia="zh-CN"/>
        </w:rPr>
        <w:t>本协议</w:t>
      </w:r>
      <w:r>
        <w:rPr>
          <w:rFonts w:hint="eastAsia" w:ascii="仿宋_GB2312" w:hAnsi="仿宋_GB2312" w:eastAsia="仿宋_GB2312" w:cs="仿宋_GB2312"/>
          <w:sz w:val="32"/>
          <w:szCs w:val="32"/>
        </w:rPr>
        <w:t>有关的任何争议，双方应首先通过友好协商解决；协商不成的，任何一方均有权向</w:t>
      </w:r>
      <w:r>
        <w:rPr>
          <w:rFonts w:hint="eastAsia" w:ascii="仿宋_GB2312" w:hAnsi="仿宋_GB2312" w:eastAsia="仿宋_GB2312" w:cs="仿宋_GB2312"/>
          <w:sz w:val="32"/>
          <w:szCs w:val="32"/>
          <w:lang w:val="en-US" w:eastAsia="zh-CN"/>
        </w:rPr>
        <w:t>甲方所在地</w:t>
      </w:r>
      <w:r>
        <w:rPr>
          <w:rFonts w:hint="eastAsia" w:ascii="仿宋_GB2312" w:hAnsi="仿宋_GB2312" w:eastAsia="仿宋_GB2312" w:cs="仿宋_GB2312"/>
          <w:sz w:val="32"/>
          <w:szCs w:val="32"/>
        </w:rPr>
        <w:t>人民法院提起诉讼。</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十二</w:t>
      </w:r>
      <w:r>
        <w:rPr>
          <w:rFonts w:hint="eastAsia" w:ascii="仿宋_GB2312" w:hAnsi="仿宋_GB2312" w:eastAsia="仿宋_GB2312" w:cs="仿宋_GB2312"/>
          <w:b/>
          <w:bCs/>
          <w:sz w:val="32"/>
          <w:szCs w:val="32"/>
        </w:rPr>
        <w:t>、其他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）本协议</w:t>
      </w:r>
      <w:r>
        <w:rPr>
          <w:rFonts w:hint="eastAsia" w:ascii="仿宋_GB2312" w:hAnsi="仿宋_GB2312" w:eastAsia="仿宋_GB2312" w:cs="仿宋_GB2312"/>
          <w:sz w:val="32"/>
          <w:szCs w:val="32"/>
        </w:rPr>
        <w:t>一式</w:t>
      </w:r>
      <w:r>
        <w:rPr>
          <w:rFonts w:hint="eastAsia" w:ascii="仿宋_GB2312" w:hAnsi="仿宋_GB2312" w:eastAsia="仿宋_GB2312" w:cs="仿宋_GB2312"/>
          <w:sz w:val="32"/>
          <w:szCs w:val="32"/>
          <w:u w:val="single"/>
          <w:lang w:val="en-US" w:eastAsia="zh-CN"/>
        </w:rPr>
        <w:t>肆</w:t>
      </w:r>
      <w:r>
        <w:rPr>
          <w:rFonts w:hint="eastAsia" w:ascii="仿宋_GB2312" w:hAnsi="仿宋_GB2312" w:eastAsia="仿宋_GB2312" w:cs="仿宋_GB2312"/>
          <w:sz w:val="32"/>
          <w:szCs w:val="32"/>
        </w:rPr>
        <w:t>份，甲</w:t>
      </w:r>
      <w:r>
        <w:rPr>
          <w:rFonts w:hint="eastAsia" w:ascii="仿宋_GB2312" w:hAnsi="仿宋_GB2312" w:eastAsia="仿宋_GB2312" w:cs="仿宋_GB2312"/>
          <w:sz w:val="32"/>
          <w:szCs w:val="32"/>
          <w:lang w:val="en-US" w:eastAsia="zh-CN"/>
        </w:rPr>
        <w:t>方执</w:t>
      </w:r>
      <w:r>
        <w:rPr>
          <w:rFonts w:hint="eastAsia" w:ascii="仿宋_GB2312" w:hAnsi="仿宋_GB2312" w:eastAsia="仿宋_GB2312" w:cs="仿宋_GB2312"/>
          <w:sz w:val="32"/>
          <w:szCs w:val="32"/>
          <w:u w:val="single"/>
          <w:lang w:val="en-US" w:eastAsia="zh-CN"/>
        </w:rPr>
        <w:t>贰</w:t>
      </w:r>
      <w:r>
        <w:rPr>
          <w:rFonts w:hint="eastAsia" w:ascii="仿宋_GB2312" w:hAnsi="仿宋_GB2312" w:eastAsia="仿宋_GB2312" w:cs="仿宋_GB2312"/>
          <w:sz w:val="32"/>
          <w:szCs w:val="32"/>
        </w:rPr>
        <w:t>份</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乙方</w:t>
      </w:r>
      <w:r>
        <w:rPr>
          <w:rFonts w:hint="eastAsia" w:ascii="仿宋_GB2312" w:hAnsi="仿宋_GB2312" w:eastAsia="仿宋_GB2312" w:cs="仿宋_GB2312"/>
          <w:sz w:val="32"/>
          <w:szCs w:val="32"/>
          <w:u w:val="single"/>
          <w:lang w:val="en-US" w:eastAsia="zh-CN"/>
        </w:rPr>
        <w:t>贰</w:t>
      </w:r>
      <w:r>
        <w:rPr>
          <w:rFonts w:hint="eastAsia" w:ascii="仿宋_GB2312" w:hAnsi="仿宋_GB2312" w:eastAsia="仿宋_GB2312" w:cs="仿宋_GB2312"/>
          <w:sz w:val="32"/>
          <w:szCs w:val="32"/>
        </w:rPr>
        <w:t>份，具有同等法律效力。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）本协议经甲乙双方法定代表人或授权代表签字并加盖公章之日起生效。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（三）本协议未尽事宜，由双方协商一致后以书面形式补充约定；各批次采购合同</w:t>
      </w:r>
      <w:r>
        <w:rPr>
          <w:rFonts w:hint="eastAsia" w:ascii="仿宋_GB2312" w:hAnsi="仿宋_GB2312" w:eastAsia="仿宋_GB2312" w:cs="仿宋_GB2312"/>
          <w:sz w:val="32"/>
          <w:szCs w:val="32"/>
          <w:lang w:val="en-US" w:eastAsia="zh-CN"/>
        </w:rPr>
        <w:t>是</w:t>
      </w:r>
      <w:r>
        <w:rPr>
          <w:rFonts w:hint="eastAsia" w:ascii="仿宋_GB2312" w:hAnsi="仿宋_GB2312" w:eastAsia="仿宋_GB2312" w:cs="仿宋_GB2312"/>
          <w:sz w:val="32"/>
          <w:szCs w:val="32"/>
        </w:rPr>
        <w:t>基于本协议订立的具体执行合同，与本协议约定不一致的，以批次采购合同约定为准。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附件1：《佛山市顺博城市发展有限公司海砂原材料采购需求清单》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附件2：《三方溯源协议》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附件3：</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附件4：</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附件5：</w:t>
      </w:r>
    </w:p>
    <w:p>
      <w:pPr>
        <w:pStyle w:val="11"/>
        <w:rPr>
          <w:rFonts w:hint="eastAsia" w:ascii="仿宋_GB2312" w:hAnsi="仿宋_GB2312" w:eastAsia="仿宋_GB2312" w:cs="仿宋_GB2312"/>
          <w:sz w:val="32"/>
          <w:szCs w:val="32"/>
          <w:lang w:val="en-US" w:eastAsia="zh-CN"/>
        </w:rPr>
      </w:pPr>
    </w:p>
    <w:p>
      <w:pPr>
        <w:pStyle w:val="11"/>
        <w:ind w:left="0" w:leftChars="0" w:firstLine="0"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以下无合同正文</w:t>
      </w:r>
      <w:r>
        <w:rPr>
          <w:rFonts w:hint="eastAsia" w:ascii="仿宋_GB2312" w:hAnsi="仿宋_GB2312" w:eastAsia="仿宋_GB2312" w:cs="仿宋_GB2312"/>
          <w:sz w:val="32"/>
          <w:szCs w:val="32"/>
          <w:lang w:eastAsia="zh-CN"/>
        </w:rPr>
        <w:t>）</w:t>
      </w:r>
    </w:p>
    <w:tbl>
      <w:tblPr>
        <w:tblStyle w:val="12"/>
        <w:tblpPr w:leftFromText="180" w:rightFromText="180" w:vertAnchor="text" w:horzAnchor="page" w:tblpX="1136" w:tblpY="442"/>
        <w:tblOverlap w:val="never"/>
        <w:tblW w:w="9408" w:type="dxa"/>
        <w:tblInd w:w="0" w:type="dxa"/>
        <w:tblLayout w:type="fixed"/>
        <w:tblCellMar>
          <w:top w:w="0" w:type="dxa"/>
          <w:left w:w="108" w:type="dxa"/>
          <w:bottom w:w="0" w:type="dxa"/>
          <w:right w:w="108" w:type="dxa"/>
        </w:tblCellMar>
      </w:tblPr>
      <w:tblGrid>
        <w:gridCol w:w="4779"/>
        <w:gridCol w:w="4629"/>
      </w:tblGrid>
      <w:tr>
        <w:tblPrEx>
          <w:tblCellMar>
            <w:top w:w="0" w:type="dxa"/>
            <w:left w:w="108" w:type="dxa"/>
            <w:bottom w:w="0" w:type="dxa"/>
            <w:right w:w="108" w:type="dxa"/>
          </w:tblCellMar>
        </w:tblPrEx>
        <w:trPr>
          <w:trHeight w:val="1175" w:hRule="atLeast"/>
        </w:trPr>
        <w:tc>
          <w:tcPr>
            <w:tcW w:w="4779" w:type="dxa"/>
            <w:tcBorders>
              <w:right w:val="dashSmallGap" w:color="auto" w:sz="4" w:space="0"/>
            </w:tcBorders>
            <w:vAlign w:val="top"/>
          </w:tcPr>
          <w:p>
            <w:pPr>
              <w:spacing w:line="432" w:lineRule="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甲方（盖章）：</w:t>
            </w:r>
          </w:p>
          <w:p>
            <w:pPr>
              <w:spacing w:line="432"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佛山市顺博</w:t>
            </w:r>
            <w:r>
              <w:rPr>
                <w:rFonts w:hint="eastAsia" w:ascii="仿宋_GB2312" w:hAnsi="仿宋_GB2312" w:eastAsia="仿宋_GB2312" w:cs="仿宋_GB2312"/>
                <w:sz w:val="32"/>
                <w:szCs w:val="32"/>
                <w:lang w:val="en-US" w:eastAsia="zh-CN"/>
              </w:rPr>
              <w:t>城市发展</w:t>
            </w:r>
            <w:r>
              <w:rPr>
                <w:rFonts w:hint="eastAsia" w:ascii="仿宋_GB2312" w:hAnsi="仿宋_GB2312" w:eastAsia="仿宋_GB2312" w:cs="仿宋_GB2312"/>
                <w:sz w:val="32"/>
                <w:szCs w:val="32"/>
              </w:rPr>
              <w:t>有限公司</w:t>
            </w:r>
          </w:p>
        </w:tc>
        <w:tc>
          <w:tcPr>
            <w:tcW w:w="4629" w:type="dxa"/>
            <w:tcBorders>
              <w:left w:val="dashSmallGap" w:color="auto" w:sz="4" w:space="0"/>
            </w:tcBorders>
            <w:vAlign w:val="top"/>
          </w:tcPr>
          <w:p>
            <w:pPr>
              <w:spacing w:line="432" w:lineRule="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乙方（盖章）：</w:t>
            </w:r>
          </w:p>
          <w:p>
            <w:pPr>
              <w:spacing w:line="420" w:lineRule="auto"/>
              <w:rPr>
                <w:rFonts w:hint="eastAsia" w:ascii="仿宋_GB2312" w:hAnsi="仿宋_GB2312" w:eastAsia="仿宋_GB2312" w:cs="仿宋_GB2312"/>
                <w:sz w:val="32"/>
                <w:szCs w:val="32"/>
              </w:rPr>
            </w:pPr>
          </w:p>
        </w:tc>
      </w:tr>
      <w:tr>
        <w:tblPrEx>
          <w:tblCellMar>
            <w:top w:w="0" w:type="dxa"/>
            <w:left w:w="108" w:type="dxa"/>
            <w:bottom w:w="0" w:type="dxa"/>
            <w:right w:w="108" w:type="dxa"/>
          </w:tblCellMar>
        </w:tblPrEx>
        <w:trPr>
          <w:trHeight w:val="587" w:hRule="atLeast"/>
        </w:trPr>
        <w:tc>
          <w:tcPr>
            <w:tcW w:w="4779" w:type="dxa"/>
            <w:tcBorders>
              <w:right w:val="dashSmallGap" w:color="auto" w:sz="4" w:space="0"/>
            </w:tcBorders>
            <w:vAlign w:val="top"/>
          </w:tcPr>
          <w:p>
            <w:pPr>
              <w:spacing w:line="432"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法定代表人/授权代表（签字或盖章）：</w:t>
            </w:r>
          </w:p>
        </w:tc>
        <w:tc>
          <w:tcPr>
            <w:tcW w:w="4629" w:type="dxa"/>
            <w:tcBorders>
              <w:left w:val="dashSmallGap" w:color="auto" w:sz="4" w:space="0"/>
            </w:tcBorders>
            <w:vAlign w:val="top"/>
          </w:tcPr>
          <w:p>
            <w:pPr>
              <w:spacing w:line="432"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法定代表人/授权代表（签字或盖章）：</w:t>
            </w:r>
          </w:p>
        </w:tc>
      </w:tr>
      <w:tr>
        <w:tblPrEx>
          <w:tblCellMar>
            <w:top w:w="0" w:type="dxa"/>
            <w:left w:w="108" w:type="dxa"/>
            <w:bottom w:w="0" w:type="dxa"/>
            <w:right w:w="108" w:type="dxa"/>
          </w:tblCellMar>
        </w:tblPrEx>
        <w:trPr>
          <w:trHeight w:val="360" w:hRule="atLeast"/>
        </w:trPr>
        <w:tc>
          <w:tcPr>
            <w:tcW w:w="4779" w:type="dxa"/>
            <w:tcBorders>
              <w:right w:val="dashSmallGap" w:color="auto" w:sz="4" w:space="0"/>
            </w:tcBorders>
            <w:vAlign w:val="top"/>
          </w:tcPr>
          <w:p>
            <w:pPr>
              <w:spacing w:line="432" w:lineRule="auto"/>
              <w:rPr>
                <w:rFonts w:hint="eastAsia" w:ascii="仿宋_GB2312" w:hAnsi="仿宋_GB2312" w:eastAsia="仿宋_GB2312" w:cs="仿宋_GB2312"/>
                <w:sz w:val="32"/>
                <w:szCs w:val="32"/>
              </w:rPr>
            </w:pPr>
          </w:p>
        </w:tc>
        <w:tc>
          <w:tcPr>
            <w:tcW w:w="4629" w:type="dxa"/>
            <w:tcBorders>
              <w:left w:val="dashSmallGap" w:color="auto" w:sz="4" w:space="0"/>
            </w:tcBorders>
            <w:vAlign w:val="top"/>
          </w:tcPr>
          <w:p>
            <w:pPr>
              <w:spacing w:line="432" w:lineRule="auto"/>
              <w:rPr>
                <w:rFonts w:hint="eastAsia" w:ascii="仿宋_GB2312" w:hAnsi="仿宋_GB2312" w:eastAsia="仿宋_GB2312" w:cs="仿宋_GB2312"/>
                <w:sz w:val="32"/>
                <w:szCs w:val="32"/>
              </w:rPr>
            </w:pPr>
          </w:p>
        </w:tc>
      </w:tr>
      <w:tr>
        <w:tblPrEx>
          <w:tblCellMar>
            <w:top w:w="0" w:type="dxa"/>
            <w:left w:w="108" w:type="dxa"/>
            <w:bottom w:w="0" w:type="dxa"/>
            <w:right w:w="108" w:type="dxa"/>
          </w:tblCellMar>
        </w:tblPrEx>
        <w:trPr>
          <w:trHeight w:val="1175" w:hRule="atLeast"/>
        </w:trPr>
        <w:tc>
          <w:tcPr>
            <w:tcW w:w="4779" w:type="dxa"/>
            <w:tcBorders>
              <w:right w:val="dashSmallGap" w:color="auto" w:sz="4" w:space="0"/>
            </w:tcBorders>
            <w:vAlign w:val="top"/>
          </w:tcPr>
          <w:p>
            <w:pPr>
              <w:spacing w:line="432"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经办人：</w:t>
            </w:r>
          </w:p>
        </w:tc>
        <w:tc>
          <w:tcPr>
            <w:tcW w:w="4629" w:type="dxa"/>
            <w:tcBorders>
              <w:left w:val="dashSmallGap" w:color="auto" w:sz="4" w:space="0"/>
            </w:tcBorders>
            <w:vAlign w:val="top"/>
          </w:tcPr>
          <w:p>
            <w:pPr>
              <w:widowControl/>
              <w:spacing w:line="432" w:lineRule="auto"/>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经办人：</w:t>
            </w:r>
          </w:p>
        </w:tc>
      </w:tr>
      <w:tr>
        <w:tblPrEx>
          <w:tblCellMar>
            <w:top w:w="0" w:type="dxa"/>
            <w:left w:w="108" w:type="dxa"/>
            <w:bottom w:w="0" w:type="dxa"/>
            <w:right w:w="108" w:type="dxa"/>
          </w:tblCellMar>
        </w:tblPrEx>
        <w:trPr>
          <w:trHeight w:val="587" w:hRule="atLeast"/>
        </w:trPr>
        <w:tc>
          <w:tcPr>
            <w:tcW w:w="4779" w:type="dxa"/>
            <w:tcBorders>
              <w:right w:val="dashSmallGap" w:color="auto" w:sz="4" w:space="0"/>
            </w:tcBorders>
            <w:vAlign w:val="top"/>
          </w:tcPr>
          <w:p>
            <w:pPr>
              <w:spacing w:line="432" w:lineRule="auto"/>
              <w:rPr>
                <w:rFonts w:hint="eastAsia" w:ascii="仿宋_GB2312" w:hAnsi="仿宋_GB2312" w:eastAsia="仿宋_GB2312" w:cs="仿宋_GB2312"/>
                <w:sz w:val="32"/>
                <w:szCs w:val="32"/>
              </w:rPr>
            </w:pPr>
          </w:p>
        </w:tc>
        <w:tc>
          <w:tcPr>
            <w:tcW w:w="4629" w:type="dxa"/>
            <w:tcBorders>
              <w:left w:val="dashSmallGap" w:color="auto" w:sz="4" w:space="0"/>
            </w:tcBorders>
            <w:vAlign w:val="top"/>
          </w:tcPr>
          <w:p>
            <w:pPr>
              <w:widowControl/>
              <w:spacing w:line="240" w:lineRule="auto"/>
              <w:jc w:val="left"/>
              <w:rPr>
                <w:rFonts w:hint="eastAsia" w:ascii="仿宋_GB2312" w:hAnsi="仿宋_GB2312" w:eastAsia="仿宋_GB2312" w:cs="仿宋_GB2312"/>
                <w:sz w:val="32"/>
                <w:szCs w:val="32"/>
              </w:rPr>
            </w:pPr>
          </w:p>
        </w:tc>
      </w:tr>
      <w:tr>
        <w:tblPrEx>
          <w:tblCellMar>
            <w:top w:w="0" w:type="dxa"/>
            <w:left w:w="108" w:type="dxa"/>
            <w:bottom w:w="0" w:type="dxa"/>
            <w:right w:w="108" w:type="dxa"/>
          </w:tblCellMar>
        </w:tblPrEx>
        <w:trPr>
          <w:trHeight w:val="587" w:hRule="atLeast"/>
        </w:trPr>
        <w:tc>
          <w:tcPr>
            <w:tcW w:w="4779" w:type="dxa"/>
            <w:tcBorders>
              <w:right w:val="dashSmallGap" w:color="auto" w:sz="4" w:space="0"/>
            </w:tcBorders>
            <w:vAlign w:val="top"/>
          </w:tcPr>
          <w:p>
            <w:pPr>
              <w:spacing w:line="432"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日期：        年     月    日</w:t>
            </w:r>
          </w:p>
        </w:tc>
        <w:tc>
          <w:tcPr>
            <w:tcW w:w="4629" w:type="dxa"/>
            <w:tcBorders>
              <w:left w:val="dashSmallGap" w:color="auto" w:sz="4" w:space="0"/>
            </w:tcBorders>
            <w:vAlign w:val="top"/>
          </w:tcPr>
          <w:p>
            <w:pPr>
              <w:spacing w:line="432"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日期：        年     月    日</w:t>
            </w:r>
          </w:p>
        </w:tc>
      </w:tr>
      <w:tr>
        <w:tblPrEx>
          <w:tblCellMar>
            <w:top w:w="0" w:type="dxa"/>
            <w:left w:w="108" w:type="dxa"/>
            <w:bottom w:w="0" w:type="dxa"/>
            <w:right w:w="108" w:type="dxa"/>
          </w:tblCellMar>
        </w:tblPrEx>
        <w:trPr>
          <w:trHeight w:val="587" w:hRule="atLeast"/>
        </w:trPr>
        <w:tc>
          <w:tcPr>
            <w:tcW w:w="4779" w:type="dxa"/>
            <w:tcBorders>
              <w:right w:val="dashSmallGap" w:color="auto" w:sz="4" w:space="0"/>
            </w:tcBorders>
            <w:vAlign w:val="top"/>
          </w:tcPr>
          <w:p>
            <w:pPr>
              <w:spacing w:line="432" w:lineRule="auto"/>
              <w:rPr>
                <w:rFonts w:hint="eastAsia" w:ascii="仿宋_GB2312" w:hAnsi="仿宋_GB2312" w:eastAsia="仿宋_GB2312" w:cs="仿宋_GB2312"/>
                <w:sz w:val="32"/>
                <w:szCs w:val="32"/>
                <w:lang w:eastAsia="zh-CN"/>
              </w:rPr>
            </w:pPr>
          </w:p>
        </w:tc>
        <w:tc>
          <w:tcPr>
            <w:tcW w:w="4629" w:type="dxa"/>
            <w:tcBorders>
              <w:left w:val="dashSmallGap" w:color="auto" w:sz="4" w:space="0"/>
            </w:tcBorders>
            <w:vAlign w:val="top"/>
          </w:tcPr>
          <w:p>
            <w:pPr>
              <w:spacing w:line="432" w:lineRule="auto"/>
              <w:rPr>
                <w:rFonts w:hint="eastAsia" w:ascii="仿宋_GB2312" w:hAnsi="仿宋_GB2312" w:eastAsia="仿宋_GB2312" w:cs="仿宋_GB2312"/>
                <w:sz w:val="32"/>
                <w:szCs w:val="32"/>
              </w:rPr>
            </w:pPr>
          </w:p>
        </w:tc>
      </w:tr>
    </w:tbl>
    <w:p>
      <w:pPr>
        <w:pStyle w:val="5"/>
        <w:spacing w:line="500" w:lineRule="exact"/>
        <w:ind w:firstLineChars="0"/>
        <w:jc w:val="left"/>
        <w:rPr>
          <w:rFonts w:hint="eastAsia" w:ascii="宋体" w:hAnsi="宋体" w:eastAsia="宋体" w:cs="Times New Roman"/>
          <w:b w:val="0"/>
          <w:bCs w:val="0"/>
          <w:kern w:val="1"/>
          <w:sz w:val="24"/>
          <w:szCs w:val="24"/>
          <w:lang w:val="en-US" w:eastAsia="zh-CN"/>
        </w:rPr>
      </w:pPr>
    </w:p>
    <w:p>
      <w:pPr>
        <w:ind w:left="0" w:leftChars="0" w:firstLineChars="0"/>
        <w:jc w:val="left"/>
        <w:rPr>
          <w:rFonts w:hint="eastAsia" w:ascii="宋体" w:hAnsi="宋体" w:eastAsia="宋体" w:cs="Times New Roman"/>
          <w:b w:val="0"/>
          <w:bCs w:val="0"/>
          <w:kern w:val="1"/>
          <w:sz w:val="24"/>
          <w:szCs w:val="24"/>
          <w:lang w:val="en-US" w:eastAsia="zh-CN"/>
        </w:rPr>
      </w:pPr>
      <w:r>
        <w:rPr>
          <w:rFonts w:hint="eastAsia" w:ascii="宋体" w:hAnsi="宋体" w:eastAsia="宋体" w:cs="Times New Roman"/>
          <w:b w:val="0"/>
          <w:bCs w:val="0"/>
          <w:kern w:val="1"/>
          <w:sz w:val="24"/>
          <w:szCs w:val="24"/>
          <w:lang w:val="en-US" w:eastAsia="zh-CN"/>
        </w:rPr>
        <w:br w:type="page"/>
      </w:r>
    </w:p>
    <w:p>
      <w:pPr>
        <w:pStyle w:val="5"/>
        <w:spacing w:line="500" w:lineRule="exact"/>
        <w:ind w:left="0" w:leftChars="0" w:firstLine="0" w:firstLineChars="0"/>
        <w:jc w:val="left"/>
        <w:rPr>
          <w:rFonts w:hint="eastAsia" w:ascii="宋体" w:hAnsi="宋体" w:eastAsia="宋体" w:cs="Times New Roman"/>
          <w:b w:val="0"/>
          <w:bCs w:val="0"/>
          <w:kern w:val="1"/>
          <w:sz w:val="24"/>
          <w:szCs w:val="24"/>
          <w:lang w:val="en-US" w:eastAsia="zh-CN"/>
        </w:rPr>
      </w:pPr>
      <w:r>
        <w:rPr>
          <w:rFonts w:hint="eastAsia" w:ascii="宋体" w:hAnsi="宋体" w:eastAsia="宋体" w:cs="Times New Roman"/>
          <w:b w:val="0"/>
          <w:bCs w:val="0"/>
          <w:kern w:val="1"/>
          <w:sz w:val="24"/>
          <w:szCs w:val="24"/>
          <w:lang w:val="en-US" w:eastAsia="zh-CN"/>
        </w:rPr>
        <w:t>附件1</w:t>
      </w:r>
    </w:p>
    <w:p>
      <w:pPr>
        <w:rPr>
          <w:rFonts w:hint="default"/>
          <w:lang w:val="en-US" w:eastAsia="zh-CN"/>
        </w:rPr>
      </w:pPr>
    </w:p>
    <w:p>
      <w:pPr>
        <w:pStyle w:val="5"/>
        <w:spacing w:line="500" w:lineRule="exact"/>
        <w:ind w:left="0" w:leftChars="0" w:firstLine="0" w:firstLineChars="0"/>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佛山市顺博城市发展有限公司海砂原材料采购需求清单</w:t>
      </w:r>
    </w:p>
    <w:p>
      <w:pPr>
        <w:pStyle w:val="5"/>
        <w:spacing w:line="500" w:lineRule="exact"/>
        <w:ind w:left="0" w:leftChars="0" w:firstLine="0" w:firstLineChars="0"/>
        <w:jc w:val="center"/>
        <w:rPr>
          <w:rFonts w:hint="eastAsia" w:ascii="仿宋_GB2312" w:hAnsi="仿宋_GB2312" w:eastAsia="仿宋_GB2312" w:cs="仿宋_GB2312"/>
          <w:sz w:val="32"/>
          <w:szCs w:val="32"/>
          <w:lang w:val="en-US" w:eastAsia="zh-CN"/>
        </w:rPr>
      </w:pPr>
    </w:p>
    <w:tbl>
      <w:tblPr>
        <w:tblStyle w:val="1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
        <w:gridCol w:w="2790"/>
        <w:gridCol w:w="2440"/>
        <w:gridCol w:w="24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dxa"/>
            <w:vAlign w:val="center"/>
          </w:tcPr>
          <w:p>
            <w:pPr>
              <w:jc w:val="center"/>
              <w:rPr>
                <w:rFonts w:hint="default"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序号</w:t>
            </w:r>
          </w:p>
        </w:tc>
        <w:tc>
          <w:tcPr>
            <w:tcW w:w="2790" w:type="dxa"/>
            <w:vAlign w:val="center"/>
          </w:tcPr>
          <w:p>
            <w:pPr>
              <w:jc w:val="center"/>
              <w:rPr>
                <w:rFonts w:hint="default"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原材料名称</w:t>
            </w:r>
          </w:p>
        </w:tc>
        <w:tc>
          <w:tcPr>
            <w:tcW w:w="2440" w:type="dxa"/>
            <w:vAlign w:val="center"/>
          </w:tcPr>
          <w:p>
            <w:pPr>
              <w:jc w:val="center"/>
              <w:rPr>
                <w:rFonts w:hint="default"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规格</w:t>
            </w:r>
          </w:p>
        </w:tc>
        <w:tc>
          <w:tcPr>
            <w:tcW w:w="2426" w:type="dxa"/>
            <w:vAlign w:val="center"/>
          </w:tcPr>
          <w:p>
            <w:pPr>
              <w:jc w:val="center"/>
              <w:rPr>
                <w:rFonts w:hint="default" w:ascii="仿宋_GB2312" w:hAnsi="仿宋_GB2312" w:eastAsia="仿宋_GB2312" w:cs="仿宋_GB2312"/>
                <w:kern w:val="2"/>
                <w:sz w:val="28"/>
                <w:szCs w:val="28"/>
                <w:lang w:val="en-US" w:eastAsia="zh-CN" w:bidi="ar-SA"/>
              </w:rPr>
            </w:pPr>
            <w:r>
              <w:rPr>
                <w:rFonts w:hint="default" w:ascii="仿宋_GB2312" w:hAnsi="仿宋_GB2312" w:eastAsia="仿宋_GB2312" w:cs="仿宋_GB2312"/>
                <w:kern w:val="2"/>
                <w:sz w:val="28"/>
                <w:szCs w:val="28"/>
                <w:lang w:val="en-US" w:eastAsia="zh-CN" w:bidi="ar-SA"/>
              </w:rPr>
              <w:t>计划一年采购量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dxa"/>
            <w:vAlign w:val="center"/>
          </w:tcPr>
          <w:p>
            <w:pPr>
              <w:jc w:val="center"/>
              <w:rPr>
                <w:rFonts w:hint="default"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w:t>
            </w:r>
          </w:p>
        </w:tc>
        <w:tc>
          <w:tcPr>
            <w:tcW w:w="2790" w:type="dxa"/>
            <w:vAlign w:val="center"/>
          </w:tcPr>
          <w:p>
            <w:pPr>
              <w:jc w:val="center"/>
              <w:rPr>
                <w:rFonts w:hint="default"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海砂（未淡化海砂）</w:t>
            </w:r>
          </w:p>
        </w:tc>
        <w:tc>
          <w:tcPr>
            <w:tcW w:w="2440" w:type="dxa"/>
            <w:vAlign w:val="center"/>
          </w:tcPr>
          <w:p>
            <w:pPr>
              <w:jc w:val="center"/>
              <w:rPr>
                <w:rFonts w:hint="default"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粗砂/</w:t>
            </w:r>
            <w:r>
              <w:rPr>
                <w:rFonts w:hint="default" w:ascii="仿宋_GB2312" w:hAnsi="仿宋_GB2312" w:eastAsia="仿宋_GB2312" w:cs="仿宋_GB2312"/>
                <w:kern w:val="2"/>
                <w:sz w:val="28"/>
                <w:szCs w:val="28"/>
                <w:lang w:val="en-US" w:eastAsia="zh-CN" w:bidi="ar-SA"/>
              </w:rPr>
              <w:t>中砂/细砂</w:t>
            </w:r>
          </w:p>
        </w:tc>
        <w:tc>
          <w:tcPr>
            <w:tcW w:w="2426" w:type="dxa"/>
            <w:vAlign w:val="center"/>
          </w:tcPr>
          <w:p>
            <w:pPr>
              <w:jc w:val="center"/>
              <w:rPr>
                <w:rFonts w:hint="default"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约35万吨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dxa"/>
            <w:vAlign w:val="center"/>
          </w:tcPr>
          <w:p>
            <w:pPr>
              <w:jc w:val="center"/>
              <w:rPr>
                <w:rFonts w:hint="eastAsia" w:ascii="仿宋_GB2312" w:hAnsi="仿宋_GB2312" w:eastAsia="仿宋_GB2312" w:cs="仿宋_GB2312"/>
                <w:kern w:val="2"/>
                <w:sz w:val="28"/>
                <w:szCs w:val="28"/>
                <w:lang w:val="en-US" w:eastAsia="zh-CN" w:bidi="ar-SA"/>
              </w:rPr>
            </w:pPr>
          </w:p>
        </w:tc>
        <w:tc>
          <w:tcPr>
            <w:tcW w:w="2790" w:type="dxa"/>
            <w:vAlign w:val="center"/>
          </w:tcPr>
          <w:p>
            <w:pPr>
              <w:jc w:val="center"/>
              <w:rPr>
                <w:rFonts w:hint="eastAsia" w:ascii="仿宋_GB2312" w:hAnsi="仿宋_GB2312" w:eastAsia="仿宋_GB2312" w:cs="仿宋_GB2312"/>
                <w:sz w:val="28"/>
                <w:szCs w:val="28"/>
                <w:lang w:val="en-US" w:eastAsia="zh-CN"/>
              </w:rPr>
            </w:pPr>
          </w:p>
        </w:tc>
        <w:tc>
          <w:tcPr>
            <w:tcW w:w="2440" w:type="dxa"/>
            <w:vAlign w:val="center"/>
          </w:tcPr>
          <w:p>
            <w:pPr>
              <w:jc w:val="center"/>
              <w:rPr>
                <w:rFonts w:hint="eastAsia" w:ascii="仿宋_GB2312" w:hAnsi="仿宋_GB2312" w:eastAsia="仿宋_GB2312" w:cs="仿宋_GB2312"/>
                <w:kern w:val="2"/>
                <w:sz w:val="28"/>
                <w:szCs w:val="28"/>
                <w:lang w:val="en-US" w:eastAsia="zh-CN" w:bidi="ar-SA"/>
              </w:rPr>
            </w:pPr>
          </w:p>
        </w:tc>
        <w:tc>
          <w:tcPr>
            <w:tcW w:w="2426" w:type="dxa"/>
            <w:vAlign w:val="center"/>
          </w:tcPr>
          <w:p>
            <w:pPr>
              <w:jc w:val="center"/>
              <w:rPr>
                <w:rFonts w:hint="eastAsia" w:ascii="仿宋_GB2312" w:hAnsi="仿宋_GB2312" w:eastAsia="仿宋_GB2312" w:cs="仿宋_GB2312"/>
                <w:kern w:val="2"/>
                <w:sz w:val="28"/>
                <w:szCs w:val="28"/>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dxa"/>
            <w:vAlign w:val="center"/>
          </w:tcPr>
          <w:p>
            <w:pPr>
              <w:jc w:val="center"/>
              <w:rPr>
                <w:rFonts w:hint="eastAsia" w:ascii="仿宋_GB2312" w:hAnsi="仿宋_GB2312" w:eastAsia="仿宋_GB2312" w:cs="仿宋_GB2312"/>
                <w:kern w:val="2"/>
                <w:sz w:val="28"/>
                <w:szCs w:val="28"/>
                <w:lang w:val="en-US" w:eastAsia="zh-CN" w:bidi="ar-SA"/>
              </w:rPr>
            </w:pPr>
          </w:p>
        </w:tc>
        <w:tc>
          <w:tcPr>
            <w:tcW w:w="2790" w:type="dxa"/>
            <w:vAlign w:val="center"/>
          </w:tcPr>
          <w:p>
            <w:pPr>
              <w:jc w:val="center"/>
              <w:rPr>
                <w:rFonts w:hint="eastAsia" w:ascii="仿宋_GB2312" w:hAnsi="仿宋_GB2312" w:eastAsia="仿宋_GB2312" w:cs="仿宋_GB2312"/>
                <w:sz w:val="28"/>
                <w:szCs w:val="28"/>
                <w:lang w:val="en-US" w:eastAsia="zh-CN"/>
              </w:rPr>
            </w:pPr>
          </w:p>
        </w:tc>
        <w:tc>
          <w:tcPr>
            <w:tcW w:w="2440" w:type="dxa"/>
            <w:vAlign w:val="center"/>
          </w:tcPr>
          <w:p>
            <w:pPr>
              <w:jc w:val="center"/>
              <w:rPr>
                <w:rFonts w:hint="eastAsia" w:ascii="仿宋_GB2312" w:hAnsi="仿宋_GB2312" w:eastAsia="仿宋_GB2312" w:cs="仿宋_GB2312"/>
                <w:kern w:val="2"/>
                <w:sz w:val="28"/>
                <w:szCs w:val="28"/>
                <w:lang w:val="en-US" w:eastAsia="zh-CN" w:bidi="ar-SA"/>
              </w:rPr>
            </w:pPr>
          </w:p>
        </w:tc>
        <w:tc>
          <w:tcPr>
            <w:tcW w:w="2426" w:type="dxa"/>
            <w:vAlign w:val="center"/>
          </w:tcPr>
          <w:p>
            <w:pPr>
              <w:jc w:val="center"/>
              <w:rPr>
                <w:rFonts w:hint="eastAsia" w:ascii="仿宋_GB2312" w:hAnsi="仿宋_GB2312" w:eastAsia="仿宋_GB2312" w:cs="仿宋_GB2312"/>
                <w:kern w:val="2"/>
                <w:sz w:val="28"/>
                <w:szCs w:val="28"/>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dxa"/>
            <w:vAlign w:val="center"/>
          </w:tcPr>
          <w:p>
            <w:pPr>
              <w:jc w:val="center"/>
              <w:rPr>
                <w:rFonts w:hint="eastAsia" w:ascii="仿宋_GB2312" w:hAnsi="仿宋_GB2312" w:eastAsia="仿宋_GB2312" w:cs="仿宋_GB2312"/>
                <w:kern w:val="2"/>
                <w:sz w:val="28"/>
                <w:szCs w:val="28"/>
                <w:lang w:val="en-US" w:eastAsia="zh-CN" w:bidi="ar-SA"/>
              </w:rPr>
            </w:pPr>
          </w:p>
        </w:tc>
        <w:tc>
          <w:tcPr>
            <w:tcW w:w="2790" w:type="dxa"/>
            <w:vAlign w:val="center"/>
          </w:tcPr>
          <w:p>
            <w:pPr>
              <w:jc w:val="center"/>
              <w:rPr>
                <w:rFonts w:hint="eastAsia" w:ascii="仿宋_GB2312" w:hAnsi="仿宋_GB2312" w:eastAsia="仿宋_GB2312" w:cs="仿宋_GB2312"/>
                <w:sz w:val="28"/>
                <w:szCs w:val="28"/>
                <w:lang w:val="en-US" w:eastAsia="zh-CN"/>
              </w:rPr>
            </w:pPr>
          </w:p>
        </w:tc>
        <w:tc>
          <w:tcPr>
            <w:tcW w:w="2440" w:type="dxa"/>
            <w:vAlign w:val="center"/>
          </w:tcPr>
          <w:p>
            <w:pPr>
              <w:jc w:val="center"/>
              <w:rPr>
                <w:rFonts w:hint="eastAsia" w:ascii="仿宋_GB2312" w:hAnsi="仿宋_GB2312" w:eastAsia="仿宋_GB2312" w:cs="仿宋_GB2312"/>
                <w:kern w:val="2"/>
                <w:sz w:val="28"/>
                <w:szCs w:val="28"/>
                <w:lang w:val="en-US" w:eastAsia="zh-CN" w:bidi="ar-SA"/>
              </w:rPr>
            </w:pPr>
          </w:p>
        </w:tc>
        <w:tc>
          <w:tcPr>
            <w:tcW w:w="2426" w:type="dxa"/>
            <w:vAlign w:val="center"/>
          </w:tcPr>
          <w:p>
            <w:pPr>
              <w:jc w:val="center"/>
              <w:rPr>
                <w:rFonts w:hint="eastAsia" w:ascii="仿宋_GB2312" w:hAnsi="仿宋_GB2312" w:eastAsia="仿宋_GB2312" w:cs="仿宋_GB2312"/>
                <w:kern w:val="2"/>
                <w:sz w:val="28"/>
                <w:szCs w:val="28"/>
                <w:lang w:val="en-US" w:eastAsia="zh-CN" w:bidi="ar-SA"/>
              </w:rPr>
            </w:pPr>
          </w:p>
        </w:tc>
      </w:tr>
    </w:tbl>
    <w:p>
      <w:pPr>
        <w:pStyle w:val="5"/>
        <w:spacing w:line="500" w:lineRule="exact"/>
        <w:ind w:left="0" w:leftChars="0" w:firstLine="0" w:firstLineChars="0"/>
        <w:jc w:val="center"/>
        <w:rPr>
          <w:rFonts w:hint="eastAsia" w:ascii="仿宋_GB2312" w:hAnsi="仿宋_GB2312" w:eastAsia="仿宋_GB2312" w:cs="仿宋_GB2312"/>
          <w:sz w:val="32"/>
          <w:szCs w:val="32"/>
          <w:lang w:val="en-US" w:eastAsia="zh-CN"/>
        </w:rPr>
      </w:pPr>
    </w:p>
    <w:p>
      <w:pPr>
        <w:pStyle w:val="5"/>
        <w:spacing w:line="500" w:lineRule="exact"/>
        <w:ind w:left="0" w:leftChars="0" w:firstLine="0" w:firstLineChars="0"/>
        <w:jc w:val="left"/>
        <w:rPr>
          <w:rFonts w:hint="eastAsia" w:ascii="宋体" w:hAnsi="宋体" w:eastAsia="宋体" w:cs="Times New Roman"/>
          <w:b w:val="0"/>
          <w:bCs w:val="0"/>
          <w:kern w:val="1"/>
          <w:sz w:val="24"/>
          <w:szCs w:val="24"/>
          <w:lang w:val="en-US" w:eastAsia="zh-CN"/>
        </w:rPr>
      </w:pPr>
    </w:p>
    <w:p>
      <w:pPr>
        <w:pStyle w:val="5"/>
        <w:spacing w:line="500" w:lineRule="exact"/>
        <w:ind w:left="0" w:leftChars="0" w:firstLine="0" w:firstLineChars="0"/>
        <w:jc w:val="left"/>
        <w:rPr>
          <w:rFonts w:hint="eastAsia" w:ascii="宋体" w:hAnsi="宋体" w:eastAsia="宋体" w:cs="Times New Roman"/>
          <w:b w:val="0"/>
          <w:bCs w:val="0"/>
          <w:kern w:val="1"/>
          <w:sz w:val="24"/>
          <w:szCs w:val="24"/>
          <w:lang w:val="en-US" w:eastAsia="zh-CN"/>
        </w:rPr>
      </w:pPr>
    </w:p>
    <w:p>
      <w:pPr>
        <w:pStyle w:val="5"/>
        <w:spacing w:line="500" w:lineRule="exact"/>
        <w:ind w:left="0" w:leftChars="0" w:firstLine="0" w:firstLineChars="0"/>
        <w:jc w:val="left"/>
        <w:rPr>
          <w:rFonts w:hint="eastAsia" w:ascii="宋体" w:hAnsi="宋体" w:eastAsia="宋体" w:cs="Times New Roman"/>
          <w:b w:val="0"/>
          <w:bCs w:val="0"/>
          <w:kern w:val="1"/>
          <w:sz w:val="24"/>
          <w:szCs w:val="24"/>
          <w:lang w:val="en-US" w:eastAsia="zh-CN"/>
        </w:rPr>
      </w:pPr>
    </w:p>
    <w:p>
      <w:pPr>
        <w:pStyle w:val="5"/>
        <w:spacing w:line="500" w:lineRule="exact"/>
        <w:ind w:left="0" w:leftChars="0" w:firstLine="0" w:firstLineChars="0"/>
        <w:jc w:val="left"/>
        <w:rPr>
          <w:rFonts w:hint="eastAsia" w:ascii="宋体" w:hAnsi="宋体" w:eastAsia="宋体" w:cs="Times New Roman"/>
          <w:b w:val="0"/>
          <w:bCs w:val="0"/>
          <w:kern w:val="1"/>
          <w:sz w:val="24"/>
          <w:szCs w:val="24"/>
          <w:lang w:val="en-US" w:eastAsia="zh-CN"/>
        </w:rPr>
      </w:pPr>
    </w:p>
    <w:p>
      <w:pPr>
        <w:pStyle w:val="5"/>
        <w:spacing w:line="500" w:lineRule="exact"/>
        <w:ind w:left="0" w:leftChars="0" w:firstLine="0" w:firstLineChars="0"/>
        <w:jc w:val="left"/>
        <w:rPr>
          <w:rFonts w:hint="eastAsia" w:ascii="宋体" w:hAnsi="宋体" w:eastAsia="宋体" w:cs="Times New Roman"/>
          <w:b w:val="0"/>
          <w:bCs w:val="0"/>
          <w:kern w:val="1"/>
          <w:sz w:val="24"/>
          <w:szCs w:val="24"/>
          <w:lang w:val="en-US" w:eastAsia="zh-CN"/>
        </w:rPr>
      </w:pPr>
    </w:p>
    <w:p>
      <w:pPr>
        <w:pStyle w:val="5"/>
        <w:spacing w:line="500" w:lineRule="exact"/>
        <w:ind w:left="0" w:leftChars="0" w:firstLine="0" w:firstLineChars="0"/>
        <w:jc w:val="left"/>
        <w:rPr>
          <w:rFonts w:hint="eastAsia" w:ascii="宋体" w:hAnsi="宋体" w:eastAsia="宋体" w:cs="Times New Roman"/>
          <w:b w:val="0"/>
          <w:bCs w:val="0"/>
          <w:kern w:val="1"/>
          <w:sz w:val="24"/>
          <w:szCs w:val="24"/>
          <w:lang w:val="en-US" w:eastAsia="zh-CN"/>
        </w:rPr>
      </w:pPr>
    </w:p>
    <w:p>
      <w:pPr>
        <w:pStyle w:val="5"/>
        <w:spacing w:line="500" w:lineRule="exact"/>
        <w:ind w:left="0" w:leftChars="0" w:firstLine="0" w:firstLineChars="0"/>
        <w:jc w:val="left"/>
        <w:rPr>
          <w:rFonts w:hint="eastAsia" w:ascii="宋体" w:hAnsi="宋体" w:eastAsia="宋体" w:cs="Times New Roman"/>
          <w:b w:val="0"/>
          <w:bCs w:val="0"/>
          <w:kern w:val="1"/>
          <w:sz w:val="24"/>
          <w:szCs w:val="24"/>
          <w:lang w:val="en-US" w:eastAsia="zh-CN"/>
        </w:rPr>
      </w:pPr>
    </w:p>
    <w:p>
      <w:pPr>
        <w:pStyle w:val="5"/>
        <w:spacing w:line="500" w:lineRule="exact"/>
        <w:ind w:left="0" w:leftChars="0" w:firstLine="0" w:firstLineChars="0"/>
        <w:jc w:val="left"/>
        <w:rPr>
          <w:rFonts w:hint="eastAsia" w:ascii="宋体" w:hAnsi="宋体" w:eastAsia="宋体" w:cs="Times New Roman"/>
          <w:b w:val="0"/>
          <w:bCs w:val="0"/>
          <w:kern w:val="1"/>
          <w:sz w:val="24"/>
          <w:szCs w:val="24"/>
          <w:lang w:val="en-US" w:eastAsia="zh-CN"/>
        </w:rPr>
      </w:pPr>
    </w:p>
    <w:p>
      <w:pPr>
        <w:pStyle w:val="5"/>
        <w:spacing w:line="500" w:lineRule="exact"/>
        <w:ind w:left="0" w:leftChars="0" w:firstLine="0" w:firstLineChars="0"/>
        <w:jc w:val="left"/>
        <w:rPr>
          <w:rFonts w:hint="eastAsia" w:ascii="宋体" w:hAnsi="宋体" w:eastAsia="宋体" w:cs="Times New Roman"/>
          <w:b w:val="0"/>
          <w:bCs w:val="0"/>
          <w:kern w:val="1"/>
          <w:sz w:val="24"/>
          <w:szCs w:val="24"/>
          <w:lang w:val="en-US" w:eastAsia="zh-CN"/>
        </w:rPr>
      </w:pPr>
    </w:p>
    <w:p>
      <w:pPr>
        <w:pStyle w:val="5"/>
        <w:spacing w:line="500" w:lineRule="exact"/>
        <w:ind w:left="0" w:leftChars="0" w:firstLine="0" w:firstLineChars="0"/>
        <w:jc w:val="left"/>
        <w:rPr>
          <w:rFonts w:hint="eastAsia" w:ascii="宋体" w:hAnsi="宋体" w:eastAsia="宋体" w:cs="Times New Roman"/>
          <w:b w:val="0"/>
          <w:bCs w:val="0"/>
          <w:kern w:val="1"/>
          <w:sz w:val="24"/>
          <w:szCs w:val="24"/>
          <w:lang w:val="en-US" w:eastAsia="zh-CN"/>
        </w:rPr>
      </w:pPr>
    </w:p>
    <w:p>
      <w:pPr>
        <w:pStyle w:val="5"/>
        <w:spacing w:line="500" w:lineRule="exact"/>
        <w:ind w:left="0" w:leftChars="0" w:firstLine="0" w:firstLineChars="0"/>
        <w:jc w:val="left"/>
        <w:rPr>
          <w:rFonts w:hint="eastAsia" w:ascii="宋体" w:hAnsi="宋体" w:eastAsia="宋体" w:cs="Times New Roman"/>
          <w:b w:val="0"/>
          <w:bCs w:val="0"/>
          <w:kern w:val="1"/>
          <w:sz w:val="24"/>
          <w:szCs w:val="24"/>
          <w:lang w:val="en-US" w:eastAsia="zh-CN"/>
        </w:rPr>
      </w:pPr>
    </w:p>
    <w:p>
      <w:pPr>
        <w:pStyle w:val="5"/>
        <w:spacing w:line="500" w:lineRule="exact"/>
        <w:ind w:left="0" w:leftChars="0" w:firstLine="0" w:firstLineChars="0"/>
        <w:jc w:val="left"/>
        <w:rPr>
          <w:rFonts w:hint="eastAsia" w:ascii="宋体" w:hAnsi="宋体" w:eastAsia="宋体" w:cs="Times New Roman"/>
          <w:b w:val="0"/>
          <w:bCs w:val="0"/>
          <w:kern w:val="1"/>
          <w:sz w:val="24"/>
          <w:szCs w:val="24"/>
          <w:lang w:val="en-US" w:eastAsia="zh-CN"/>
        </w:rPr>
      </w:pPr>
    </w:p>
    <w:p>
      <w:pPr>
        <w:pStyle w:val="5"/>
        <w:spacing w:line="500" w:lineRule="exact"/>
        <w:ind w:left="0" w:leftChars="0" w:firstLine="0" w:firstLineChars="0"/>
        <w:jc w:val="left"/>
        <w:rPr>
          <w:rFonts w:hint="eastAsia" w:ascii="宋体" w:hAnsi="宋体" w:eastAsia="宋体" w:cs="Times New Roman"/>
          <w:b w:val="0"/>
          <w:bCs w:val="0"/>
          <w:kern w:val="1"/>
          <w:sz w:val="24"/>
          <w:szCs w:val="24"/>
          <w:lang w:val="en-US" w:eastAsia="zh-CN"/>
        </w:rPr>
      </w:pPr>
    </w:p>
    <w:p>
      <w:pPr>
        <w:pStyle w:val="5"/>
        <w:spacing w:line="500" w:lineRule="exact"/>
        <w:ind w:left="0" w:leftChars="0" w:firstLine="0" w:firstLineChars="0"/>
        <w:jc w:val="left"/>
        <w:rPr>
          <w:rFonts w:hint="eastAsia" w:ascii="宋体" w:hAnsi="宋体" w:eastAsia="宋体" w:cs="Times New Roman"/>
          <w:b w:val="0"/>
          <w:bCs w:val="0"/>
          <w:kern w:val="1"/>
          <w:sz w:val="24"/>
          <w:szCs w:val="24"/>
          <w:lang w:val="en-US" w:eastAsia="zh-CN"/>
        </w:rPr>
      </w:pPr>
    </w:p>
    <w:p>
      <w:pPr>
        <w:pStyle w:val="5"/>
        <w:spacing w:line="500" w:lineRule="exact"/>
        <w:ind w:left="0" w:leftChars="0" w:firstLine="0" w:firstLineChars="0"/>
        <w:jc w:val="left"/>
        <w:rPr>
          <w:rFonts w:hint="eastAsia" w:ascii="宋体" w:hAnsi="宋体" w:eastAsia="宋体" w:cs="Times New Roman"/>
          <w:b w:val="0"/>
          <w:bCs w:val="0"/>
          <w:kern w:val="1"/>
          <w:sz w:val="24"/>
          <w:szCs w:val="24"/>
          <w:lang w:val="en-US" w:eastAsia="zh-CN"/>
        </w:rPr>
      </w:pPr>
    </w:p>
    <w:p>
      <w:pPr>
        <w:pStyle w:val="5"/>
        <w:spacing w:line="500" w:lineRule="exact"/>
        <w:ind w:left="0" w:leftChars="0" w:firstLine="0" w:firstLineChars="0"/>
        <w:jc w:val="left"/>
        <w:rPr>
          <w:rFonts w:hint="eastAsia" w:ascii="宋体" w:hAnsi="宋体" w:eastAsia="宋体" w:cs="Times New Roman"/>
          <w:b w:val="0"/>
          <w:bCs w:val="0"/>
          <w:kern w:val="1"/>
          <w:sz w:val="24"/>
          <w:szCs w:val="24"/>
          <w:lang w:val="en-US" w:eastAsia="zh-CN"/>
        </w:rPr>
      </w:pPr>
    </w:p>
    <w:p>
      <w:pPr>
        <w:pStyle w:val="5"/>
        <w:spacing w:line="500" w:lineRule="exact"/>
        <w:ind w:left="0" w:leftChars="0" w:firstLine="0" w:firstLineChars="0"/>
        <w:jc w:val="left"/>
        <w:rPr>
          <w:rFonts w:hint="eastAsia" w:ascii="宋体" w:hAnsi="宋体" w:eastAsia="宋体" w:cs="Times New Roman"/>
          <w:b w:val="0"/>
          <w:bCs w:val="0"/>
          <w:kern w:val="1"/>
          <w:sz w:val="24"/>
          <w:szCs w:val="24"/>
          <w:lang w:val="en-US" w:eastAsia="zh-CN"/>
        </w:rPr>
      </w:pPr>
      <w:r>
        <w:rPr>
          <w:rFonts w:hint="eastAsia" w:ascii="宋体" w:hAnsi="宋体" w:eastAsia="宋体" w:cs="Times New Roman"/>
          <w:b w:val="0"/>
          <w:bCs w:val="0"/>
          <w:kern w:val="1"/>
          <w:sz w:val="24"/>
          <w:szCs w:val="24"/>
          <w:lang w:val="en-US" w:eastAsia="zh-CN"/>
        </w:rPr>
        <w:t>附件2</w:t>
      </w:r>
    </w:p>
    <w:p>
      <w:pPr>
        <w:widowControl/>
        <w:adjustRightInd/>
        <w:snapToGrid/>
        <w:spacing w:before="156" w:beforeLines="50" w:line="360" w:lineRule="auto"/>
        <w:ind w:firstLine="0" w:firstLineChars="0"/>
        <w:jc w:val="center"/>
        <w:rPr>
          <w:rFonts w:hint="eastAsia" w:ascii="方正小标宋简体" w:hAnsi="方正小标宋简体" w:eastAsia="方正小标宋简体" w:cs="方正小标宋简体"/>
          <w:b w:val="0"/>
          <w:bCs w:val="0"/>
          <w:kern w:val="1"/>
          <w:sz w:val="32"/>
          <w:szCs w:val="32"/>
          <w:lang w:val="en-US" w:eastAsia="zh-CN"/>
        </w:rPr>
      </w:pPr>
      <w:r>
        <w:rPr>
          <w:rFonts w:hint="eastAsia" w:ascii="Times New Roman" w:hAnsi="Times New Roman" w:eastAsia="方正小标宋简体" w:cs="Times New Roman"/>
          <w:b w:val="0"/>
          <w:bCs w:val="0"/>
          <w:kern w:val="2"/>
          <w:sz w:val="44"/>
          <w:szCs w:val="44"/>
          <w:lang w:val="en-US" w:eastAsia="zh-CN"/>
        </w:rPr>
        <w:t>三方溯源协议</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仿宋_GB2312" w:eastAsia="仿宋_GB2312" w:cs="仿宋_GB2312"/>
          <w:color w:val="auto"/>
          <w:kern w:val="2"/>
          <w:sz w:val="32"/>
          <w:szCs w:val="32"/>
          <w:lang w:val="en-US" w:eastAsia="zh-CN" w:bidi="ar"/>
        </w:rPr>
      </w:pPr>
      <w:r>
        <w:rPr>
          <w:rFonts w:hint="eastAsia" w:ascii="仿宋_GB2312" w:hAnsi="仿宋_GB2312" w:eastAsia="仿宋_GB2312" w:cs="仿宋_GB2312"/>
          <w:color w:val="auto"/>
          <w:kern w:val="2"/>
          <w:sz w:val="32"/>
          <w:szCs w:val="32"/>
          <w:lang w:val="en-US" w:eastAsia="zh-CN" w:bidi="ar"/>
        </w:rPr>
        <w:t>甲方（采购人）：佛山市顺博城市发展有限公司</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仿宋_GB2312" w:eastAsia="仿宋_GB2312" w:cs="仿宋_GB2312"/>
          <w:color w:val="auto"/>
          <w:kern w:val="2"/>
          <w:sz w:val="32"/>
          <w:szCs w:val="32"/>
          <w:lang w:val="en-US" w:eastAsia="zh-CN" w:bidi="ar"/>
        </w:rPr>
      </w:pPr>
      <w:r>
        <w:rPr>
          <w:rFonts w:hint="eastAsia" w:ascii="仿宋_GB2312" w:hAnsi="仿宋_GB2312" w:eastAsia="仿宋_GB2312" w:cs="仿宋_GB2312"/>
          <w:color w:val="auto"/>
          <w:kern w:val="2"/>
          <w:sz w:val="32"/>
          <w:szCs w:val="32"/>
          <w:lang w:val="en-US" w:eastAsia="zh-CN" w:bidi="ar"/>
        </w:rPr>
        <w:t xml:space="preserve">地址： </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2"/>
          <w:sz w:val="32"/>
          <w:szCs w:val="32"/>
          <w:lang w:val="en-US" w:eastAsia="zh-CN" w:bidi="ar"/>
        </w:rPr>
        <w:t>法定代表人/授权代表：</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仿宋_GB2312" w:eastAsia="仿宋_GB2312" w:cs="仿宋_GB2312"/>
          <w:color w:val="auto"/>
          <w:kern w:val="2"/>
          <w:sz w:val="32"/>
          <w:szCs w:val="32"/>
          <w:lang w:val="en-US" w:eastAsia="zh-CN" w:bidi="ar"/>
        </w:rPr>
      </w:pP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仿宋_GB2312" w:eastAsia="仿宋_GB2312" w:cs="仿宋_GB2312"/>
          <w:color w:val="auto"/>
          <w:kern w:val="2"/>
          <w:sz w:val="32"/>
          <w:szCs w:val="32"/>
          <w:lang w:val="en-US" w:eastAsia="zh-CN" w:bidi="ar"/>
        </w:rPr>
      </w:pPr>
      <w:r>
        <w:rPr>
          <w:rFonts w:hint="eastAsia" w:ascii="仿宋_GB2312" w:hAnsi="仿宋_GB2312" w:eastAsia="仿宋_GB2312" w:cs="仿宋_GB2312"/>
          <w:color w:val="auto"/>
          <w:kern w:val="2"/>
          <w:sz w:val="32"/>
          <w:szCs w:val="32"/>
          <w:lang w:val="en-US" w:eastAsia="zh-CN" w:bidi="ar"/>
        </w:rPr>
        <w:t xml:space="preserve">乙方（入库供应商）： </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仿宋_GB2312" w:eastAsia="仿宋_GB2312" w:cs="仿宋_GB2312"/>
          <w:color w:val="auto"/>
          <w:kern w:val="2"/>
          <w:sz w:val="32"/>
          <w:szCs w:val="32"/>
          <w:lang w:val="en-US" w:eastAsia="zh-CN" w:bidi="ar"/>
        </w:rPr>
      </w:pPr>
      <w:r>
        <w:rPr>
          <w:rFonts w:hint="eastAsia" w:ascii="仿宋_GB2312" w:hAnsi="仿宋_GB2312" w:eastAsia="仿宋_GB2312" w:cs="仿宋_GB2312"/>
          <w:color w:val="auto"/>
          <w:kern w:val="2"/>
          <w:sz w:val="32"/>
          <w:szCs w:val="32"/>
          <w:lang w:val="en-US" w:eastAsia="zh-CN" w:bidi="ar"/>
        </w:rPr>
        <w:t xml:space="preserve">地址： </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2"/>
          <w:sz w:val="32"/>
          <w:szCs w:val="32"/>
          <w:lang w:val="en-US" w:eastAsia="zh-CN" w:bidi="ar"/>
        </w:rPr>
        <w:t>法定代表人/授权代表：</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仿宋_GB2312" w:eastAsia="仿宋_GB2312" w:cs="仿宋_GB2312"/>
          <w:color w:val="auto"/>
          <w:kern w:val="2"/>
          <w:sz w:val="32"/>
          <w:szCs w:val="32"/>
          <w:lang w:val="en-US" w:eastAsia="zh-CN" w:bidi="ar"/>
        </w:rPr>
      </w:pP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仿宋_GB2312" w:eastAsia="仿宋_GB2312" w:cs="仿宋_GB2312"/>
          <w:color w:val="auto"/>
          <w:kern w:val="2"/>
          <w:sz w:val="32"/>
          <w:szCs w:val="32"/>
          <w:lang w:val="en-US" w:eastAsia="zh-CN" w:bidi="ar"/>
        </w:rPr>
      </w:pPr>
      <w:r>
        <w:rPr>
          <w:rFonts w:hint="eastAsia" w:ascii="仿宋_GB2312" w:hAnsi="仿宋_GB2312" w:eastAsia="仿宋_GB2312" w:cs="仿宋_GB2312"/>
          <w:color w:val="auto"/>
          <w:kern w:val="2"/>
          <w:sz w:val="32"/>
          <w:szCs w:val="32"/>
          <w:lang w:val="en-US" w:eastAsia="zh-CN" w:bidi="ar"/>
        </w:rPr>
        <w:t>丙方（砂源方）：</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仿宋_GB2312" w:eastAsia="仿宋_GB2312" w:cs="仿宋_GB2312"/>
          <w:color w:val="auto"/>
          <w:kern w:val="2"/>
          <w:sz w:val="32"/>
          <w:szCs w:val="32"/>
          <w:lang w:val="en-US" w:eastAsia="zh-CN" w:bidi="ar"/>
        </w:rPr>
      </w:pPr>
      <w:r>
        <w:rPr>
          <w:rFonts w:hint="eastAsia" w:ascii="仿宋_GB2312" w:hAnsi="仿宋_GB2312" w:eastAsia="仿宋_GB2312" w:cs="仿宋_GB2312"/>
          <w:color w:val="auto"/>
          <w:kern w:val="2"/>
          <w:sz w:val="32"/>
          <w:szCs w:val="32"/>
          <w:lang w:val="en-US" w:eastAsia="zh-CN" w:bidi="ar"/>
        </w:rPr>
        <w:t xml:space="preserve">□ 海砂矿区/标段矿业权人 </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仿宋_GB2312" w:eastAsia="仿宋_GB2312" w:cs="仿宋_GB2312"/>
          <w:color w:val="auto"/>
          <w:kern w:val="2"/>
          <w:sz w:val="32"/>
          <w:szCs w:val="32"/>
          <w:lang w:val="en-US" w:eastAsia="zh-CN" w:bidi="ar"/>
        </w:rPr>
      </w:pPr>
      <w:r>
        <w:rPr>
          <w:rFonts w:hint="eastAsia" w:ascii="仿宋_GB2312" w:hAnsi="仿宋_GB2312" w:eastAsia="仿宋_GB2312" w:cs="仿宋_GB2312"/>
          <w:color w:val="auto"/>
          <w:kern w:val="2"/>
          <w:sz w:val="32"/>
          <w:szCs w:val="32"/>
          <w:lang w:val="en-US" w:eastAsia="zh-CN" w:bidi="ar"/>
        </w:rPr>
        <w:t xml:space="preserve">□ 矿业权人授权经销商 </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仿宋_GB2312" w:eastAsia="仿宋_GB2312" w:cs="仿宋_GB2312"/>
          <w:color w:val="auto"/>
          <w:kern w:val="2"/>
          <w:sz w:val="32"/>
          <w:szCs w:val="32"/>
          <w:lang w:val="en-US" w:eastAsia="zh-CN" w:bidi="ar"/>
        </w:rPr>
      </w:pPr>
      <w:r>
        <w:rPr>
          <w:rFonts w:hint="eastAsia" w:ascii="仿宋_GB2312" w:hAnsi="仿宋_GB2312" w:eastAsia="仿宋_GB2312" w:cs="仿宋_GB2312"/>
          <w:color w:val="auto"/>
          <w:kern w:val="2"/>
          <w:sz w:val="32"/>
          <w:szCs w:val="32"/>
          <w:lang w:val="en-US" w:eastAsia="zh-CN" w:bidi="ar"/>
        </w:rPr>
        <w:t xml:space="preserve">地址： </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2"/>
          <w:sz w:val="32"/>
          <w:szCs w:val="32"/>
          <w:lang w:val="en-US" w:eastAsia="zh-CN" w:bidi="ar"/>
        </w:rPr>
        <w:t>法定代表人/授权代表：</w:t>
      </w:r>
    </w:p>
    <w:p>
      <w:pPr>
        <w:keepNext w:val="0"/>
        <w:keepLines w:val="0"/>
        <w:widowControl w:val="0"/>
        <w:suppressLineNumbers w:val="0"/>
        <w:pBdr>
          <w:top w:val="none" w:color="auto" w:sz="0" w:space="0"/>
          <w:left w:val="none" w:color="auto" w:sz="0" w:space="0"/>
          <w:right w:val="none" w:color="auto" w:sz="0" w:space="0"/>
        </w:pBdr>
        <w:spacing w:before="0" w:beforeAutospacing="0" w:after="0" w:afterAutospacing="0" w:line="560" w:lineRule="exact"/>
        <w:ind w:left="0" w:right="0" w:firstLine="640" w:firstLineChars="200"/>
        <w:rPr>
          <w:rFonts w:hint="eastAsia" w:ascii="仿宋_GB2312" w:hAnsi="仿宋_GB2312" w:eastAsia="仿宋_GB2312" w:cs="仿宋_GB2312"/>
          <w:color w:val="000000"/>
          <w:sz w:val="32"/>
          <w:szCs w:val="32"/>
        </w:rPr>
      </w:pPr>
    </w:p>
    <w:p>
      <w:pPr>
        <w:keepNext w:val="0"/>
        <w:keepLines w:val="0"/>
        <w:widowControl w:val="0"/>
        <w:suppressLineNumbers w:val="0"/>
        <w:pBdr>
          <w:top w:val="none" w:color="auto" w:sz="0" w:space="0"/>
          <w:left w:val="none" w:color="auto" w:sz="0" w:space="0"/>
          <w:right w:val="none" w:color="auto" w:sz="0" w:space="0"/>
        </w:pBdr>
        <w:spacing w:before="0" w:beforeAutospacing="0" w:after="0" w:afterAutospacing="0" w:line="560" w:lineRule="exact"/>
        <w:ind w:left="0" w:right="0"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第一条 协议订立目的与效力</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仿宋_GB2312" w:eastAsia="仿宋_GB2312" w:cs="仿宋_GB2312"/>
          <w:color w:val="auto"/>
          <w:kern w:val="2"/>
          <w:sz w:val="32"/>
          <w:szCs w:val="32"/>
          <w:lang w:val="en-US" w:eastAsia="zh-CN" w:bidi="ar"/>
        </w:rPr>
      </w:pPr>
      <w:r>
        <w:rPr>
          <w:rFonts w:hint="eastAsia" w:ascii="仿宋_GB2312" w:hAnsi="仿宋_GB2312" w:eastAsia="仿宋_GB2312" w:cs="仿宋_GB2312"/>
          <w:color w:val="auto"/>
          <w:kern w:val="2"/>
          <w:sz w:val="32"/>
          <w:szCs w:val="32"/>
          <w:lang w:val="en-US" w:eastAsia="zh-CN" w:bidi="ar"/>
        </w:rPr>
        <w:t xml:space="preserve">1.1 为保障顺德区绿色低碳建材项目海砂原材料来源合法合规、全流程可追溯，明确砂源源头、供应环节、采购环节各方的溯源管理责任，防范无合法来源海砂流入项目，三方本着平等自愿、权责清晰的原则，签订本协议。 </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仿宋_GB2312" w:eastAsia="仿宋_GB2312" w:cs="仿宋_GB2312"/>
          <w:color w:val="auto"/>
          <w:kern w:val="2"/>
          <w:sz w:val="32"/>
          <w:szCs w:val="32"/>
          <w:lang w:val="en-US" w:eastAsia="zh-CN" w:bidi="ar"/>
        </w:rPr>
      </w:pPr>
      <w:r>
        <w:rPr>
          <w:rFonts w:hint="eastAsia" w:ascii="仿宋_GB2312" w:hAnsi="仿宋_GB2312" w:eastAsia="仿宋_GB2312" w:cs="仿宋_GB2312"/>
          <w:color w:val="auto"/>
          <w:kern w:val="2"/>
          <w:sz w:val="32"/>
          <w:szCs w:val="32"/>
          <w:lang w:val="en-US" w:eastAsia="zh-CN" w:bidi="ar"/>
        </w:rPr>
        <w:t xml:space="preserve">1.2 本协议为《佛山市顺博城市发展有限公司顺德区绿色低碳建材项目海砂原材料采购供应商入库框架协议》（以下简称“主协议”）的必备附件，与主协议具有同等法律效力。本协议未尽事宜，按主协议约定执行；本协议与主协议约定不一致的，以本协议为准。 </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2"/>
          <w:sz w:val="32"/>
          <w:szCs w:val="32"/>
          <w:lang w:val="en-US" w:eastAsia="zh-CN" w:bidi="ar"/>
        </w:rPr>
        <w:t>1.3 本协议项下所有批次海砂的溯源管理要求，同时适用于甲方与乙方后续签订的各批次具体采购合同。</w:t>
      </w:r>
    </w:p>
    <w:p>
      <w:pPr>
        <w:keepNext w:val="0"/>
        <w:keepLines w:val="0"/>
        <w:widowControl w:val="0"/>
        <w:suppressLineNumbers w:val="0"/>
        <w:pBdr>
          <w:top w:val="none" w:color="auto" w:sz="0" w:space="0"/>
          <w:left w:val="none" w:color="auto" w:sz="0" w:space="0"/>
          <w:right w:val="none" w:color="auto" w:sz="0" w:space="0"/>
        </w:pBdr>
        <w:spacing w:before="0" w:beforeAutospacing="0" w:after="0" w:afterAutospacing="0" w:line="560" w:lineRule="exact"/>
        <w:ind w:left="0" w:right="0"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第二条 各方身份与资质承诺</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仿宋_GB2312" w:eastAsia="仿宋_GB2312" w:cs="仿宋_GB2312"/>
          <w:color w:val="auto"/>
          <w:kern w:val="2"/>
          <w:sz w:val="32"/>
          <w:szCs w:val="32"/>
          <w:lang w:val="en-US" w:eastAsia="zh-CN" w:bidi="ar"/>
        </w:rPr>
      </w:pPr>
      <w:r>
        <w:rPr>
          <w:rFonts w:hint="eastAsia" w:ascii="仿宋_GB2312" w:hAnsi="仿宋_GB2312" w:eastAsia="仿宋_GB2312" w:cs="仿宋_GB2312"/>
          <w:color w:val="auto"/>
          <w:kern w:val="2"/>
          <w:sz w:val="32"/>
          <w:szCs w:val="32"/>
          <w:lang w:val="en-US" w:eastAsia="zh-CN" w:bidi="ar"/>
        </w:rPr>
        <w:t xml:space="preserve">2.1 甲方为案涉项目海砂采购方，负责对入库供应商及对应砂源的溯源工作进行监督、核验与管理。 </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仿宋_GB2312" w:eastAsia="仿宋_GB2312" w:cs="仿宋_GB2312"/>
          <w:color w:val="auto"/>
          <w:kern w:val="2"/>
          <w:sz w:val="32"/>
          <w:szCs w:val="32"/>
          <w:lang w:val="en-US" w:eastAsia="zh-CN" w:bidi="ar"/>
        </w:rPr>
      </w:pPr>
      <w:r>
        <w:rPr>
          <w:rFonts w:hint="eastAsia" w:ascii="仿宋_GB2312" w:hAnsi="仿宋_GB2312" w:eastAsia="仿宋_GB2312" w:cs="仿宋_GB2312"/>
          <w:color w:val="auto"/>
          <w:kern w:val="2"/>
          <w:sz w:val="32"/>
          <w:szCs w:val="32"/>
          <w:lang w:val="en-US" w:eastAsia="zh-CN" w:bidi="ar"/>
        </w:rPr>
        <w:t xml:space="preserve">2.2 乙方为甲方海砂合格供应商库入库单位，负责统筹落实所供应每批次海砂的全链路溯源工作，对溯源资料的真实性、完整性、对应性承担首要责任。 </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仿宋_GB2312" w:eastAsia="仿宋_GB2312" w:cs="仿宋_GB2312"/>
          <w:color w:val="auto"/>
          <w:kern w:val="2"/>
          <w:sz w:val="32"/>
          <w:szCs w:val="32"/>
          <w:lang w:val="en-US" w:eastAsia="zh-CN" w:bidi="ar"/>
        </w:rPr>
      </w:pPr>
      <w:r>
        <w:rPr>
          <w:rFonts w:hint="eastAsia" w:ascii="仿宋_GB2312" w:hAnsi="仿宋_GB2312" w:eastAsia="仿宋_GB2312" w:cs="仿宋_GB2312"/>
          <w:color w:val="auto"/>
          <w:kern w:val="2"/>
          <w:sz w:val="32"/>
          <w:szCs w:val="32"/>
          <w:lang w:val="en-US" w:eastAsia="zh-CN" w:bidi="ar"/>
        </w:rPr>
        <w:t xml:space="preserve">2.3 丙方为对应海砂矿区/标段的□ </w:t>
      </w:r>
      <w:r>
        <w:rPr>
          <w:rStyle w:val="14"/>
          <w:rFonts w:hint="eastAsia" w:ascii="仿宋_GB2312" w:hAnsi="仿宋_GB2312" w:eastAsia="仿宋_GB2312" w:cs="仿宋_GB2312"/>
          <w:color w:val="auto"/>
          <w:kern w:val="2"/>
          <w:sz w:val="32"/>
          <w:szCs w:val="32"/>
          <w:lang w:val="en-US" w:eastAsia="zh-CN" w:bidi="ar"/>
        </w:rPr>
        <w:t>矿业权人</w:t>
      </w:r>
      <w:r>
        <w:rPr>
          <w:rFonts w:hint="eastAsia" w:ascii="仿宋_GB2312" w:hAnsi="仿宋_GB2312" w:eastAsia="仿宋_GB2312" w:cs="仿宋_GB2312"/>
          <w:color w:val="auto"/>
          <w:kern w:val="2"/>
          <w:sz w:val="32"/>
          <w:szCs w:val="32"/>
          <w:lang w:val="en-US" w:eastAsia="zh-CN" w:bidi="ar"/>
        </w:rPr>
        <w:t xml:space="preserve">□ </w:t>
      </w:r>
      <w:r>
        <w:rPr>
          <w:rStyle w:val="14"/>
          <w:rFonts w:hint="eastAsia" w:ascii="仿宋_GB2312" w:hAnsi="仿宋_GB2312" w:eastAsia="仿宋_GB2312" w:cs="仿宋_GB2312"/>
          <w:color w:val="auto"/>
          <w:kern w:val="2"/>
          <w:sz w:val="32"/>
          <w:szCs w:val="32"/>
          <w:lang w:val="en-US" w:eastAsia="zh-CN" w:bidi="ar"/>
        </w:rPr>
        <w:t>矿业权人合法授权经销商</w:t>
      </w:r>
      <w:r>
        <w:rPr>
          <w:rFonts w:hint="eastAsia" w:ascii="仿宋_GB2312" w:hAnsi="仿宋_GB2312" w:eastAsia="仿宋_GB2312" w:cs="仿宋_GB2312"/>
          <w:color w:val="auto"/>
          <w:kern w:val="2"/>
          <w:sz w:val="32"/>
          <w:szCs w:val="32"/>
          <w:lang w:val="en-US" w:eastAsia="zh-CN" w:bidi="ar"/>
        </w:rPr>
        <w:t>，是海砂源头责任主体，对所供应海砂的矿区来源合法性、源头溯源资料真实性承担最终责任。</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2"/>
          <w:sz w:val="32"/>
          <w:szCs w:val="32"/>
          <w:lang w:val="en-US" w:eastAsia="zh-CN" w:bidi="ar"/>
        </w:rPr>
        <w:t>2.4 三方共同承诺：各方均具备签订及履行本协议的合法资质；丙方对案涉矿区/标段海砂享有合法开采、销售或授权经销权利，相关资质文件均真实有效、在有效期内。</w:t>
      </w:r>
    </w:p>
    <w:p>
      <w:pPr>
        <w:keepNext w:val="0"/>
        <w:keepLines w:val="0"/>
        <w:widowControl w:val="0"/>
        <w:suppressLineNumbers w:val="0"/>
        <w:pBdr>
          <w:top w:val="none" w:color="auto" w:sz="0" w:space="0"/>
          <w:left w:val="none" w:color="auto" w:sz="0" w:space="0"/>
          <w:right w:val="none" w:color="auto" w:sz="0" w:space="0"/>
        </w:pBdr>
        <w:spacing w:before="0" w:beforeAutospacing="0" w:after="0" w:afterAutospacing="0" w:line="560" w:lineRule="exact"/>
        <w:ind w:left="0" w:right="0"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第三条 溯源责任划分</w:t>
      </w:r>
    </w:p>
    <w:p>
      <w:pPr>
        <w:keepNext w:val="0"/>
        <w:keepLines w:val="0"/>
        <w:widowControl w:val="0"/>
        <w:suppressLineNumbers w:val="0"/>
        <w:pBdr>
          <w:top w:val="none" w:color="auto" w:sz="0" w:space="0"/>
          <w:left w:val="none" w:color="auto" w:sz="0" w:space="0"/>
          <w:right w:val="none" w:color="auto" w:sz="0" w:space="0"/>
        </w:pBdr>
        <w:spacing w:before="0" w:beforeAutospacing="0" w:after="0" w:afterAutospacing="0" w:line="560" w:lineRule="exact"/>
        <w:ind w:left="0" w:right="0"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3.1 丙方责任</w:t>
      </w:r>
    </w:p>
    <w:p>
      <w:pPr>
        <w:keepNext w:val="0"/>
        <w:keepLines w:val="0"/>
        <w:widowControl w:val="0"/>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确保所供应海砂全部来源于备案的指定矿区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标段，不得混装、掺用非指定矿区砂源、非法砂源；</w:t>
      </w:r>
    </w:p>
    <w:p>
      <w:pPr>
        <w:keepNext w:val="0"/>
        <w:keepLines w:val="0"/>
        <w:widowControl w:val="0"/>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向乙方、甲方提供真实有效的采矿许可证、不动产登记证明、矿业权权属文件、开采</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销售许可文件；如丙方为授权经销商，须同时提供矿业权人出具的合法授权文件；</w:t>
      </w:r>
    </w:p>
    <w:p>
      <w:pPr>
        <w:keepNext w:val="0"/>
        <w:keepLines w:val="0"/>
        <w:widowControl w:val="0"/>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2"/>
          <w:sz w:val="32"/>
          <w:szCs w:val="32"/>
          <w:lang w:val="en-US" w:eastAsia="zh-CN" w:bidi="ar-SA"/>
        </w:rPr>
        <w:t>3.</w:t>
      </w:r>
      <w:r>
        <w:rPr>
          <w:rFonts w:hint="eastAsia" w:ascii="仿宋_GB2312" w:hAnsi="仿宋_GB2312" w:eastAsia="仿宋_GB2312" w:cs="仿宋_GB2312"/>
          <w:color w:val="auto"/>
          <w:sz w:val="32"/>
          <w:szCs w:val="32"/>
        </w:rPr>
        <w:t>配合乙方完成每批次海砂的源头信息登记，出具对应批次的砂源来源证明、装货确认单据，确保源头信息与实际装货砂源一一对应；</w:t>
      </w:r>
    </w:p>
    <w:p>
      <w:pPr>
        <w:keepNext w:val="0"/>
        <w:keepLines w:val="0"/>
        <w:widowControl w:val="0"/>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2"/>
          <w:sz w:val="32"/>
          <w:szCs w:val="32"/>
          <w:lang w:val="en-US" w:eastAsia="zh-CN" w:bidi="ar-SA"/>
        </w:rPr>
        <w:t>4.</w:t>
      </w:r>
      <w:r>
        <w:rPr>
          <w:rFonts w:hint="eastAsia" w:ascii="仿宋_GB2312" w:hAnsi="仿宋_GB2312" w:eastAsia="仿宋_GB2312" w:cs="仿宋_GB2312"/>
          <w:color w:val="auto"/>
          <w:sz w:val="32"/>
          <w:szCs w:val="32"/>
        </w:rPr>
        <w:t>配合甲方及甲方委托的审计、监察、检测机构开展源头核查、现场检查、飞行抽检，不得拒绝、隐瞒、提供虚假资料。</w:t>
      </w:r>
    </w:p>
    <w:p>
      <w:pPr>
        <w:keepNext w:val="0"/>
        <w:keepLines w:val="0"/>
        <w:widowControl w:val="0"/>
        <w:suppressLineNumbers w:val="0"/>
        <w:pBdr>
          <w:top w:val="none" w:color="auto" w:sz="0" w:space="0"/>
          <w:left w:val="none" w:color="auto" w:sz="0" w:space="0"/>
          <w:right w:val="none" w:color="auto" w:sz="0" w:space="0"/>
        </w:pBdr>
        <w:spacing w:before="0" w:beforeAutospacing="0" w:after="0" w:afterAutospacing="0" w:line="560" w:lineRule="exact"/>
        <w:ind w:left="0" w:right="0"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3.2 乙方（供应商）责任</w:t>
      </w:r>
    </w:p>
    <w:p>
      <w:pPr>
        <w:keepNext w:val="0"/>
        <w:keepLines w:val="0"/>
        <w:widowControl w:val="0"/>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2"/>
          <w:sz w:val="32"/>
          <w:szCs w:val="32"/>
          <w:lang w:val="en-US" w:eastAsia="zh-CN" w:bidi="ar-SA"/>
        </w:rPr>
        <w:t>1.</w:t>
      </w:r>
      <w:r>
        <w:rPr>
          <w:rFonts w:hint="eastAsia" w:ascii="仿宋_GB2312" w:hAnsi="仿宋_GB2312" w:eastAsia="仿宋_GB2312" w:cs="仿宋_GB2312"/>
          <w:color w:val="auto"/>
          <w:sz w:val="32"/>
          <w:szCs w:val="32"/>
        </w:rPr>
        <w:t>对每批次海砂的全链路溯源承担总责，负责收集、整理、核验从矿区到甲方指定交货地点的全部溯源文件，确保链条完整、单证对应、信息真实；</w:t>
      </w:r>
    </w:p>
    <w:p>
      <w:pPr>
        <w:keepNext w:val="0"/>
        <w:keepLines w:val="0"/>
        <w:widowControl w:val="0"/>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2"/>
          <w:sz w:val="32"/>
          <w:szCs w:val="32"/>
          <w:lang w:val="en-US" w:eastAsia="zh-CN" w:bidi="ar-SA"/>
        </w:rPr>
        <w:t>2.</w:t>
      </w:r>
      <w:r>
        <w:rPr>
          <w:rFonts w:hint="eastAsia" w:ascii="仿宋_GB2312" w:hAnsi="仿宋_GB2312" w:eastAsia="仿宋_GB2312" w:cs="仿宋_GB2312"/>
          <w:color w:val="auto"/>
          <w:sz w:val="32"/>
          <w:szCs w:val="32"/>
        </w:rPr>
        <w:t>承诺每一批次海砂原材料来源均合法合规，不存在盗采、非法转运、来源不明等情形；</w:t>
      </w:r>
    </w:p>
    <w:p>
      <w:pPr>
        <w:keepNext w:val="0"/>
        <w:keepLines w:val="0"/>
        <w:widowControl w:val="0"/>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2"/>
          <w:sz w:val="32"/>
          <w:szCs w:val="32"/>
          <w:lang w:val="en-US" w:eastAsia="zh-CN" w:bidi="ar-SA"/>
        </w:rPr>
        <w:t>3.</w:t>
      </w:r>
      <w:r>
        <w:rPr>
          <w:rFonts w:hint="eastAsia" w:ascii="仿宋_GB2312" w:hAnsi="仿宋_GB2312" w:eastAsia="仿宋_GB2312" w:cs="仿宋_GB2312"/>
          <w:color w:val="auto"/>
          <w:sz w:val="32"/>
          <w:szCs w:val="32"/>
        </w:rPr>
        <w:t>严格落实甲方认可的信息化追溯要求，确保运输全程可监控、可追溯、可存证；</w:t>
      </w:r>
    </w:p>
    <w:p>
      <w:pPr>
        <w:keepNext w:val="0"/>
        <w:keepLines w:val="0"/>
        <w:widowControl w:val="0"/>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2"/>
          <w:sz w:val="32"/>
          <w:szCs w:val="32"/>
          <w:lang w:val="en-US" w:eastAsia="zh-CN" w:bidi="ar-SA"/>
        </w:rPr>
        <w:t>4.</w:t>
      </w:r>
      <w:r>
        <w:rPr>
          <w:rFonts w:hint="eastAsia" w:ascii="仿宋_GB2312" w:hAnsi="仿宋_GB2312" w:eastAsia="仿宋_GB2312" w:cs="仿宋_GB2312"/>
          <w:color w:val="auto"/>
          <w:sz w:val="32"/>
          <w:szCs w:val="32"/>
        </w:rPr>
        <w:t>接受甲方的溯源核验与抽检，对溯源不符、资料缺失等问题立即整改，并承担由此产生的全部责任与损失。</w:t>
      </w:r>
    </w:p>
    <w:p>
      <w:pPr>
        <w:keepNext w:val="0"/>
        <w:keepLines w:val="0"/>
        <w:widowControl w:val="0"/>
        <w:suppressLineNumbers w:val="0"/>
        <w:pBdr>
          <w:top w:val="none" w:color="auto" w:sz="0" w:space="0"/>
          <w:left w:val="none" w:color="auto" w:sz="0" w:space="0"/>
          <w:right w:val="none" w:color="auto" w:sz="0" w:space="0"/>
        </w:pBdr>
        <w:spacing w:before="0" w:beforeAutospacing="0" w:after="0" w:afterAutospacing="0" w:line="560" w:lineRule="exact"/>
        <w:ind w:left="0" w:right="0"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3.3 甲方（采购人）责任</w:t>
      </w:r>
    </w:p>
    <w:p>
      <w:pPr>
        <w:keepNext w:val="0"/>
        <w:keepLines w:val="0"/>
        <w:widowControl w:val="0"/>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2"/>
          <w:sz w:val="32"/>
          <w:szCs w:val="32"/>
          <w:lang w:val="en-US" w:eastAsia="zh-CN" w:bidi="ar-SA"/>
        </w:rPr>
        <w:t>1.</w:t>
      </w:r>
      <w:r>
        <w:rPr>
          <w:rFonts w:hint="eastAsia" w:ascii="仿宋_GB2312" w:hAnsi="仿宋_GB2312" w:eastAsia="仿宋_GB2312" w:cs="仿宋_GB2312"/>
          <w:color w:val="auto"/>
          <w:sz w:val="32"/>
          <w:szCs w:val="32"/>
        </w:rPr>
        <w:t>制定统一的溯源管理规则与信息化追溯标准，向乙方、丙方明确溯源资料提交要求、核验流程；</w:t>
      </w:r>
    </w:p>
    <w:p>
      <w:pPr>
        <w:keepNext w:val="0"/>
        <w:keepLines w:val="0"/>
        <w:widowControl w:val="0"/>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2"/>
          <w:sz w:val="32"/>
          <w:szCs w:val="32"/>
          <w:lang w:val="en-US" w:eastAsia="zh-CN" w:bidi="ar-SA"/>
        </w:rPr>
        <w:t>2.</w:t>
      </w:r>
      <w:r>
        <w:rPr>
          <w:rFonts w:hint="eastAsia" w:ascii="仿宋_GB2312" w:hAnsi="仿宋_GB2312" w:eastAsia="仿宋_GB2312" w:cs="仿宋_GB2312"/>
          <w:color w:val="auto"/>
          <w:sz w:val="32"/>
          <w:szCs w:val="32"/>
        </w:rPr>
        <w:t>对乙方提交的溯源资料进行核验，有权开展现场核查、飞行抽检、数据比对等监督工作；</w:t>
      </w:r>
    </w:p>
    <w:p>
      <w:pPr>
        <w:keepNext w:val="0"/>
        <w:keepLines w:val="0"/>
        <w:widowControl w:val="0"/>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2"/>
          <w:sz w:val="32"/>
          <w:szCs w:val="32"/>
          <w:lang w:val="en-US" w:eastAsia="zh-CN" w:bidi="ar-SA"/>
        </w:rPr>
        <w:t>3.</w:t>
      </w:r>
      <w:r>
        <w:rPr>
          <w:rFonts w:hint="eastAsia" w:ascii="仿宋_GB2312" w:hAnsi="仿宋_GB2312" w:eastAsia="仿宋_GB2312" w:cs="仿宋_GB2312"/>
          <w:color w:val="auto"/>
          <w:sz w:val="32"/>
          <w:szCs w:val="32"/>
        </w:rPr>
        <w:t>对溯源合规的批次按约定办理验收结算；对溯源违规的批次按本协议及主协议约定追究违约责任。</w:t>
      </w:r>
    </w:p>
    <w:p>
      <w:pPr>
        <w:keepNext w:val="0"/>
        <w:keepLines w:val="0"/>
        <w:widowControl w:val="0"/>
        <w:suppressLineNumbers w:val="0"/>
        <w:pBdr>
          <w:top w:val="none" w:color="auto" w:sz="0" w:space="0"/>
          <w:left w:val="none" w:color="auto" w:sz="0" w:space="0"/>
          <w:right w:val="none" w:color="auto" w:sz="0" w:space="0"/>
        </w:pBdr>
        <w:spacing w:before="0" w:beforeAutospacing="0" w:after="0" w:afterAutospacing="0" w:line="560" w:lineRule="exact"/>
        <w:ind w:left="0" w:right="0"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第四条 溯源文件管理要求</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仿宋_GB2312" w:eastAsia="仿宋_GB2312" w:cs="仿宋_GB2312"/>
          <w:color w:val="auto"/>
          <w:kern w:val="2"/>
          <w:sz w:val="32"/>
          <w:szCs w:val="32"/>
          <w:lang w:val="en-US" w:eastAsia="zh-CN" w:bidi="ar"/>
        </w:rPr>
      </w:pPr>
      <w:r>
        <w:rPr>
          <w:rFonts w:hint="eastAsia" w:ascii="仿宋_GB2312" w:hAnsi="仿宋_GB2312" w:eastAsia="仿宋_GB2312" w:cs="仿宋_GB2312"/>
          <w:color w:val="auto"/>
          <w:kern w:val="2"/>
          <w:sz w:val="32"/>
          <w:szCs w:val="32"/>
          <w:lang w:val="en-US" w:eastAsia="zh-CN" w:bidi="ar"/>
        </w:rPr>
        <w:t>4.1 每批次海砂供货前，乙方须向甲方提交完整的溯源链证明文件，做到 “一批次、一档案、全对应”，必备文件包括但不限于：</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仿宋_GB2312" w:eastAsia="仿宋_GB2312" w:cs="仿宋_GB2312"/>
          <w:color w:val="auto"/>
          <w:kern w:val="2"/>
          <w:sz w:val="32"/>
          <w:szCs w:val="32"/>
          <w:lang w:val="en-US" w:eastAsia="zh-CN" w:bidi="ar"/>
        </w:rPr>
      </w:pPr>
      <w:r>
        <w:rPr>
          <w:rFonts w:hint="eastAsia" w:ascii="仿宋_GB2312" w:hAnsi="仿宋_GB2312" w:eastAsia="仿宋_GB2312" w:cs="仿宋_GB2312"/>
          <w:color w:val="auto"/>
          <w:kern w:val="2"/>
          <w:sz w:val="32"/>
          <w:szCs w:val="32"/>
          <w:lang w:val="en-US" w:eastAsia="zh-CN" w:bidi="ar"/>
        </w:rPr>
        <w:t>（1） 源头权属类：对应矿区/标段有效的采矿许可证、不动产登记证明、矿业权人身份证明文件；</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仿宋_GB2312" w:eastAsia="仿宋_GB2312" w:cs="仿宋_GB2312"/>
          <w:color w:val="auto"/>
          <w:kern w:val="2"/>
          <w:sz w:val="32"/>
          <w:szCs w:val="32"/>
          <w:lang w:val="en-US" w:eastAsia="zh-CN" w:bidi="ar"/>
        </w:rPr>
      </w:pPr>
      <w:r>
        <w:rPr>
          <w:rFonts w:hint="eastAsia" w:ascii="仿宋_GB2312" w:hAnsi="仿宋_GB2312" w:eastAsia="仿宋_GB2312" w:cs="仿宋_GB2312"/>
          <w:color w:val="auto"/>
          <w:kern w:val="2"/>
          <w:sz w:val="32"/>
          <w:szCs w:val="32"/>
          <w:lang w:val="en-US" w:eastAsia="zh-CN" w:bidi="ar"/>
        </w:rPr>
        <w:t>（2） 授权链路类：如涉及经销商、分销商层级，须提供完整的逐级授权文件，授权范围须覆盖案涉海砂销售；</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仿宋_GB2312" w:eastAsia="仿宋_GB2312" w:cs="仿宋_GB2312"/>
          <w:color w:val="auto"/>
          <w:kern w:val="2"/>
          <w:sz w:val="32"/>
          <w:szCs w:val="32"/>
          <w:lang w:val="en-US" w:eastAsia="zh-CN" w:bidi="ar"/>
        </w:rPr>
      </w:pPr>
      <w:r>
        <w:rPr>
          <w:rFonts w:hint="eastAsia" w:ascii="仿宋_GB2312" w:hAnsi="仿宋_GB2312" w:eastAsia="仿宋_GB2312" w:cs="仿宋_GB2312"/>
          <w:color w:val="auto"/>
          <w:kern w:val="2"/>
          <w:sz w:val="32"/>
          <w:szCs w:val="32"/>
          <w:lang w:val="en-US" w:eastAsia="zh-CN" w:bidi="ar"/>
        </w:rPr>
        <w:t>（3） 批次来源类：对应批次的砂源出库证明、矿区装货确认单、矿业权人或其授权方出具的来源证明；</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仿宋_GB2312" w:eastAsia="仿宋_GB2312" w:cs="仿宋_GB2312"/>
          <w:color w:val="auto"/>
          <w:kern w:val="2"/>
          <w:sz w:val="32"/>
          <w:szCs w:val="32"/>
          <w:lang w:val="en-US" w:eastAsia="zh-CN" w:bidi="ar"/>
        </w:rPr>
      </w:pPr>
      <w:r>
        <w:rPr>
          <w:rFonts w:hint="eastAsia" w:ascii="仿宋_GB2312" w:hAnsi="仿宋_GB2312" w:eastAsia="仿宋_GB2312" w:cs="仿宋_GB2312"/>
          <w:color w:val="auto"/>
          <w:kern w:val="2"/>
          <w:sz w:val="32"/>
          <w:szCs w:val="32"/>
          <w:lang w:val="en-US" w:eastAsia="zh-CN" w:bidi="ar"/>
        </w:rPr>
        <w:t>（4） 运输凭证类：全程水路运输单、船舶适航证明、船员信息、装卸港确认记录；</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仿宋_GB2312" w:eastAsia="仿宋_GB2312" w:cs="仿宋_GB2312"/>
          <w:color w:val="auto"/>
          <w:kern w:val="2"/>
          <w:sz w:val="32"/>
          <w:szCs w:val="32"/>
          <w:lang w:val="en-US" w:eastAsia="zh-CN" w:bidi="ar"/>
        </w:rPr>
      </w:pPr>
      <w:r>
        <w:rPr>
          <w:rFonts w:hint="eastAsia" w:ascii="仿宋_GB2312" w:hAnsi="仿宋_GB2312" w:eastAsia="仿宋_GB2312" w:cs="仿宋_GB2312"/>
          <w:color w:val="auto"/>
          <w:kern w:val="2"/>
          <w:sz w:val="32"/>
          <w:szCs w:val="32"/>
          <w:lang w:val="en-US" w:eastAsia="zh-CN" w:bidi="ar"/>
        </w:rPr>
        <w:t>（5） 税费凭证类：对应批次的资源税缴纳凭证、合法合规的增值税发票等；</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仿宋_GB2312" w:eastAsia="仿宋_GB2312" w:cs="仿宋_GB2312"/>
          <w:color w:val="auto"/>
          <w:kern w:val="2"/>
          <w:sz w:val="32"/>
          <w:szCs w:val="32"/>
          <w:lang w:val="en-US" w:eastAsia="zh-CN" w:bidi="ar"/>
        </w:rPr>
      </w:pPr>
      <w:r>
        <w:rPr>
          <w:rFonts w:hint="eastAsia" w:ascii="仿宋_GB2312" w:hAnsi="仿宋_GB2312" w:eastAsia="仿宋_GB2312" w:cs="仿宋_GB2312"/>
          <w:color w:val="auto"/>
          <w:kern w:val="2"/>
          <w:sz w:val="32"/>
          <w:szCs w:val="32"/>
          <w:lang w:val="en-US" w:eastAsia="zh-CN" w:bidi="ar"/>
        </w:rPr>
        <w:t xml:space="preserve">（6） 甲方要求的其他溯源佐证材料。 </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仿宋_GB2312" w:eastAsia="仿宋_GB2312" w:cs="仿宋_GB2312"/>
          <w:color w:val="auto"/>
          <w:kern w:val="2"/>
          <w:sz w:val="32"/>
          <w:szCs w:val="32"/>
          <w:lang w:val="en-US" w:eastAsia="zh-CN" w:bidi="ar"/>
        </w:rPr>
      </w:pPr>
      <w:r>
        <w:rPr>
          <w:rFonts w:hint="eastAsia" w:ascii="仿宋_GB2312" w:hAnsi="仿宋_GB2312" w:eastAsia="仿宋_GB2312" w:cs="仿宋_GB2312"/>
          <w:color w:val="auto"/>
          <w:kern w:val="2"/>
          <w:sz w:val="32"/>
          <w:szCs w:val="32"/>
          <w:lang w:val="en-US" w:eastAsia="zh-CN" w:bidi="ar"/>
        </w:rPr>
        <w:t xml:space="preserve">4.2 所有溯源文件须加盖出具单位公章，确保信息清晰、可核验；文件信息须与该批次海砂的数量、装货时间、运输船舶、交货地点完全对应，不得混用、套用其他批次文件。 </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2"/>
          <w:sz w:val="32"/>
          <w:szCs w:val="32"/>
          <w:lang w:val="en-US" w:eastAsia="zh-CN" w:bidi="ar"/>
        </w:rPr>
        <w:t>4.3 溯源文件作为批次货物验收的前置条件，资料不全、信息不符、无法核验的，甲方有权拒收该批次货物，由此产生的滞期、转运、退货等全部损失由乙方承担。</w:t>
      </w:r>
    </w:p>
    <w:p>
      <w:pPr>
        <w:keepNext w:val="0"/>
        <w:keepLines w:val="0"/>
        <w:widowControl w:val="0"/>
        <w:suppressLineNumbers w:val="0"/>
        <w:pBdr>
          <w:top w:val="none" w:color="auto" w:sz="0" w:space="0"/>
          <w:left w:val="none" w:color="auto" w:sz="0" w:space="0"/>
          <w:right w:val="none" w:color="auto" w:sz="0" w:space="0"/>
        </w:pBdr>
        <w:spacing w:before="0" w:beforeAutospacing="0" w:after="0" w:afterAutospacing="0" w:line="560" w:lineRule="exact"/>
        <w:ind w:left="0" w:right="0"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第五条 信息化追溯要求</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仿宋_GB2312" w:eastAsia="仿宋_GB2312" w:cs="仿宋_GB2312"/>
          <w:color w:val="auto"/>
          <w:kern w:val="2"/>
          <w:sz w:val="32"/>
          <w:szCs w:val="32"/>
          <w:lang w:val="en-US" w:eastAsia="zh-CN" w:bidi="ar"/>
        </w:rPr>
      </w:pPr>
      <w:r>
        <w:rPr>
          <w:rFonts w:hint="eastAsia" w:ascii="仿宋_GB2312" w:hAnsi="仿宋_GB2312" w:eastAsia="仿宋_GB2312" w:cs="仿宋_GB2312"/>
          <w:color w:val="auto"/>
          <w:kern w:val="2"/>
          <w:sz w:val="32"/>
          <w:szCs w:val="32"/>
          <w:lang w:val="en-US" w:eastAsia="zh-CN" w:bidi="ar"/>
        </w:rPr>
        <w:t xml:space="preserve">5.1 乙方须采用甲方认可的信息化追溯手段，实现海砂从矿区装货至甲方指定交货地点的物流运输全程可追溯，丙方须配合提供源头节点数据。 </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仿宋_GB2312" w:eastAsia="仿宋_GB2312" w:cs="仿宋_GB2312"/>
          <w:color w:val="auto"/>
          <w:kern w:val="2"/>
          <w:sz w:val="32"/>
          <w:szCs w:val="32"/>
          <w:lang w:val="en-US" w:eastAsia="zh-CN" w:bidi="ar"/>
        </w:rPr>
      </w:pPr>
      <w:r>
        <w:rPr>
          <w:rFonts w:hint="eastAsia" w:ascii="仿宋_GB2312" w:hAnsi="仿宋_GB2312" w:eastAsia="仿宋_GB2312" w:cs="仿宋_GB2312"/>
          <w:color w:val="auto"/>
          <w:kern w:val="2"/>
          <w:sz w:val="32"/>
          <w:szCs w:val="32"/>
          <w:lang w:val="en-US" w:eastAsia="zh-CN" w:bidi="ar"/>
        </w:rPr>
        <w:t>5.2 信息化追溯最低标准：</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仿宋_GB2312" w:eastAsia="仿宋_GB2312" w:cs="仿宋_GB2312"/>
          <w:color w:val="auto"/>
          <w:kern w:val="2"/>
          <w:sz w:val="32"/>
          <w:szCs w:val="32"/>
          <w:lang w:val="en-US" w:eastAsia="zh-CN" w:bidi="ar"/>
        </w:rPr>
      </w:pPr>
      <w:r>
        <w:rPr>
          <w:rFonts w:hint="eastAsia" w:ascii="仿宋_GB2312" w:hAnsi="仿宋_GB2312" w:eastAsia="仿宋_GB2312" w:cs="仿宋_GB2312"/>
          <w:color w:val="auto"/>
          <w:kern w:val="2"/>
          <w:sz w:val="32"/>
          <w:szCs w:val="32"/>
          <w:lang w:val="en-US" w:eastAsia="zh-CN" w:bidi="ar"/>
        </w:rPr>
        <w:t>（1）</w:t>
      </w:r>
      <w:r>
        <w:rPr>
          <w:rStyle w:val="14"/>
          <w:rFonts w:hint="eastAsia" w:ascii="仿宋_GB2312" w:hAnsi="仿宋_GB2312" w:eastAsia="仿宋_GB2312" w:cs="仿宋_GB2312"/>
          <w:color w:val="auto"/>
          <w:kern w:val="2"/>
          <w:sz w:val="32"/>
          <w:szCs w:val="32"/>
          <w:lang w:val="en-US" w:eastAsia="zh-CN" w:bidi="ar"/>
        </w:rPr>
        <w:t>电子运单管理</w:t>
      </w:r>
      <w:r>
        <w:rPr>
          <w:rFonts w:hint="eastAsia" w:ascii="仿宋_GB2312" w:hAnsi="仿宋_GB2312" w:eastAsia="仿宋_GB2312" w:cs="仿宋_GB2312"/>
          <w:color w:val="auto"/>
          <w:kern w:val="2"/>
          <w:sz w:val="32"/>
          <w:szCs w:val="32"/>
          <w:lang w:val="en-US" w:eastAsia="zh-CN" w:bidi="ar"/>
        </w:rPr>
        <w:t>：每批次货物生成唯一电子运单，载明砂源矿区、装货时间、船舶信息、载货量、交货地点等核心信息，随运输全程流转；</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仿宋_GB2312" w:eastAsia="仿宋_GB2312" w:cs="仿宋_GB2312"/>
          <w:color w:val="auto"/>
          <w:kern w:val="2"/>
          <w:sz w:val="32"/>
          <w:szCs w:val="32"/>
          <w:lang w:val="en-US" w:eastAsia="zh-CN" w:bidi="ar"/>
        </w:rPr>
      </w:pPr>
      <w:r>
        <w:rPr>
          <w:rFonts w:hint="eastAsia" w:ascii="仿宋_GB2312" w:hAnsi="仿宋_GB2312" w:eastAsia="仿宋_GB2312" w:cs="仿宋_GB2312"/>
          <w:color w:val="auto"/>
          <w:kern w:val="2"/>
          <w:sz w:val="32"/>
          <w:szCs w:val="32"/>
          <w:lang w:val="en-US" w:eastAsia="zh-CN" w:bidi="ar"/>
        </w:rPr>
        <w:t>（2）</w:t>
      </w:r>
      <w:r>
        <w:rPr>
          <w:rStyle w:val="14"/>
          <w:rFonts w:hint="eastAsia" w:ascii="仿宋_GB2312" w:hAnsi="仿宋_GB2312" w:eastAsia="仿宋_GB2312" w:cs="仿宋_GB2312"/>
          <w:color w:val="auto"/>
          <w:kern w:val="2"/>
          <w:sz w:val="32"/>
          <w:szCs w:val="32"/>
          <w:lang w:val="en-US" w:eastAsia="zh-CN" w:bidi="ar"/>
        </w:rPr>
        <w:t>GPS 轨迹全程记录</w:t>
      </w:r>
      <w:r>
        <w:rPr>
          <w:rFonts w:hint="eastAsia" w:ascii="仿宋_GB2312" w:hAnsi="仿宋_GB2312" w:eastAsia="仿宋_GB2312" w:cs="仿宋_GB2312"/>
          <w:color w:val="auto"/>
          <w:kern w:val="2"/>
          <w:sz w:val="32"/>
          <w:szCs w:val="32"/>
          <w:lang w:val="en-US" w:eastAsia="zh-CN" w:bidi="ar"/>
        </w:rPr>
        <w:t>：运输船舶须开启定位设备，完整记录装货港至卸货港的行驶轨迹，不得关闭、篡改定位数据，轨迹数据须与电子运单一一对应；</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仿宋_GB2312" w:eastAsia="仿宋_GB2312" w:cs="仿宋_GB2312"/>
          <w:color w:val="auto"/>
          <w:kern w:val="2"/>
          <w:sz w:val="32"/>
          <w:szCs w:val="32"/>
          <w:lang w:val="en-US" w:eastAsia="zh-CN" w:bidi="ar"/>
        </w:rPr>
      </w:pPr>
      <w:r>
        <w:rPr>
          <w:rFonts w:hint="eastAsia" w:ascii="仿宋_GB2312" w:hAnsi="仿宋_GB2312" w:eastAsia="仿宋_GB2312" w:cs="仿宋_GB2312"/>
          <w:color w:val="auto"/>
          <w:kern w:val="2"/>
          <w:sz w:val="32"/>
          <w:szCs w:val="32"/>
          <w:lang w:val="en-US" w:eastAsia="zh-CN" w:bidi="ar"/>
        </w:rPr>
        <w:t>（3）</w:t>
      </w:r>
      <w:r>
        <w:rPr>
          <w:rStyle w:val="14"/>
          <w:rFonts w:hint="eastAsia" w:ascii="仿宋_GB2312" w:hAnsi="仿宋_GB2312" w:eastAsia="仿宋_GB2312" w:cs="仿宋_GB2312"/>
          <w:color w:val="auto"/>
          <w:kern w:val="2"/>
          <w:sz w:val="32"/>
          <w:szCs w:val="32"/>
          <w:lang w:val="en-US" w:eastAsia="zh-CN" w:bidi="ar"/>
        </w:rPr>
        <w:t>关键节点存证</w:t>
      </w:r>
      <w:r>
        <w:rPr>
          <w:rFonts w:hint="eastAsia" w:ascii="仿宋_GB2312" w:hAnsi="仿宋_GB2312" w:eastAsia="仿宋_GB2312" w:cs="仿宋_GB2312"/>
          <w:color w:val="auto"/>
          <w:kern w:val="2"/>
          <w:sz w:val="32"/>
          <w:szCs w:val="32"/>
          <w:lang w:val="en-US" w:eastAsia="zh-CN" w:bidi="ar"/>
        </w:rPr>
        <w:t>：装货完成、中途过闸/转载、抵达卸货港等关键节点，须上传现场照片、时间戳、定位信息至甲方指定系统；</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仿宋_GB2312" w:eastAsia="仿宋_GB2312" w:cs="仿宋_GB2312"/>
          <w:color w:val="auto"/>
          <w:kern w:val="2"/>
          <w:sz w:val="32"/>
          <w:szCs w:val="32"/>
          <w:lang w:val="en-US" w:eastAsia="zh-CN" w:bidi="ar"/>
        </w:rPr>
      </w:pPr>
      <w:r>
        <w:rPr>
          <w:rFonts w:hint="eastAsia" w:ascii="仿宋_GB2312" w:hAnsi="仿宋_GB2312" w:eastAsia="仿宋_GB2312" w:cs="仿宋_GB2312"/>
          <w:color w:val="auto"/>
          <w:kern w:val="2"/>
          <w:sz w:val="32"/>
          <w:szCs w:val="32"/>
          <w:lang w:val="en-US" w:eastAsia="zh-CN" w:bidi="ar"/>
        </w:rPr>
        <w:t xml:space="preserve">（4）甲方要求采用区块链存证的，乙方须按要求将溯源文件、轨迹数据、节点信息上链存证，确保数据不可篡改、可追溯验证。 </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2"/>
          <w:sz w:val="32"/>
          <w:szCs w:val="32"/>
          <w:lang w:val="en-US" w:eastAsia="zh-CN" w:bidi="ar"/>
        </w:rPr>
        <w:t>5.3 甲方有权通过系统后台实时查验运输轨迹、调取溯源数据；乙方须确保数据真实、连续、完整，不得伪造轨迹、补录数据、隐瞒中转信息。</w:t>
      </w:r>
    </w:p>
    <w:p>
      <w:pPr>
        <w:keepNext w:val="0"/>
        <w:keepLines w:val="0"/>
        <w:widowControl w:val="0"/>
        <w:suppressLineNumbers w:val="0"/>
        <w:pBdr>
          <w:top w:val="none" w:color="auto" w:sz="0" w:space="0"/>
          <w:left w:val="none" w:color="auto" w:sz="0" w:space="0"/>
          <w:right w:val="none" w:color="auto" w:sz="0" w:space="0"/>
        </w:pBdr>
        <w:spacing w:before="0" w:beforeAutospacing="0" w:after="0" w:afterAutospacing="0" w:line="560" w:lineRule="exact"/>
        <w:ind w:left="0" w:right="0"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第六条 核验与监督检查</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仿宋_GB2312" w:eastAsia="仿宋_GB2312" w:cs="仿宋_GB2312"/>
          <w:color w:val="auto"/>
          <w:kern w:val="2"/>
          <w:sz w:val="32"/>
          <w:szCs w:val="32"/>
          <w:lang w:val="en-US" w:eastAsia="zh-CN" w:bidi="ar"/>
        </w:rPr>
      </w:pPr>
      <w:r>
        <w:rPr>
          <w:rFonts w:hint="eastAsia" w:ascii="仿宋_GB2312" w:hAnsi="仿宋_GB2312" w:eastAsia="仿宋_GB2312" w:cs="仿宋_GB2312"/>
          <w:color w:val="auto"/>
          <w:kern w:val="2"/>
          <w:sz w:val="32"/>
          <w:szCs w:val="32"/>
          <w:lang w:val="en-US" w:eastAsia="zh-CN" w:bidi="ar"/>
        </w:rPr>
        <w:t xml:space="preserve">6.1 甲方对每批次海砂进行溯源资料核验，资料合格后方可进入质量验收环节；甲方有权不定期对在途船舶进行轨迹抽查，对到货砂源进行源头信息比对核验。 </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仿宋_GB2312" w:eastAsia="仿宋_GB2312" w:cs="仿宋_GB2312"/>
          <w:color w:val="auto"/>
          <w:kern w:val="2"/>
          <w:sz w:val="32"/>
          <w:szCs w:val="32"/>
          <w:lang w:val="en-US" w:eastAsia="zh-CN" w:bidi="ar"/>
        </w:rPr>
      </w:pPr>
      <w:r>
        <w:rPr>
          <w:rFonts w:hint="eastAsia" w:ascii="仿宋_GB2312" w:hAnsi="仿宋_GB2312" w:eastAsia="仿宋_GB2312" w:cs="仿宋_GB2312"/>
          <w:color w:val="auto"/>
          <w:kern w:val="2"/>
          <w:sz w:val="32"/>
          <w:szCs w:val="32"/>
          <w:lang w:val="en-US" w:eastAsia="zh-CN" w:bidi="ar"/>
        </w:rPr>
        <w:t xml:space="preserve">6.2 甲方有权自行或委托第三方机构，前往对应矿区/装货点开展现场核查、飞行抽检，乙方、丙方须予以配合，提供场地、资料、人员支持，不得拒绝、阻挠、隐瞒。 </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2"/>
          <w:sz w:val="32"/>
          <w:szCs w:val="32"/>
          <w:lang w:val="en-US" w:eastAsia="zh-CN" w:bidi="ar"/>
        </w:rPr>
        <w:t>6.3 经核验发现实际砂源与备案矿区/标段不符、溯源资料虚假、运输轨迹异常且无法合理解释的，直接认定为溯源违规，按本协议第七条处理。</w:t>
      </w:r>
    </w:p>
    <w:p>
      <w:pPr>
        <w:keepNext w:val="0"/>
        <w:keepLines w:val="0"/>
        <w:widowControl w:val="0"/>
        <w:suppressLineNumbers w:val="0"/>
        <w:pBdr>
          <w:top w:val="none" w:color="auto" w:sz="0" w:space="0"/>
          <w:left w:val="none" w:color="auto" w:sz="0" w:space="0"/>
          <w:right w:val="none" w:color="auto" w:sz="0" w:space="0"/>
        </w:pBdr>
        <w:spacing w:before="0" w:beforeAutospacing="0" w:after="0" w:afterAutospacing="0" w:line="560" w:lineRule="exact"/>
        <w:ind w:left="0" w:right="0"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第七条 违约责任</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仿宋_GB2312" w:eastAsia="仿宋_GB2312" w:cs="仿宋_GB2312"/>
          <w:color w:val="auto"/>
          <w:kern w:val="2"/>
          <w:sz w:val="32"/>
          <w:szCs w:val="32"/>
          <w:lang w:val="en-US" w:eastAsia="zh-CN" w:bidi="ar"/>
        </w:rPr>
      </w:pPr>
      <w:r>
        <w:rPr>
          <w:rFonts w:hint="eastAsia" w:ascii="仿宋_GB2312" w:hAnsi="仿宋_GB2312" w:eastAsia="仿宋_GB2312" w:cs="仿宋_GB2312"/>
          <w:color w:val="auto"/>
          <w:kern w:val="2"/>
          <w:sz w:val="32"/>
          <w:szCs w:val="32"/>
          <w:lang w:val="en-US" w:eastAsia="zh-CN" w:bidi="ar"/>
        </w:rPr>
        <w:t>7.1 若丙方提供虚假砂源权属文件、擅自供应非指定矿区海砂、出具虚假来源证明的，丙方须向甲方承担该批次货值 20% 的违约金，乙方承担连带责任；甲方有权扣除乙方全部入库履约保证金，取消乙方入库供应商资格，并有权解除对应批次采购合同及主协议。</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仿宋_GB2312" w:eastAsia="仿宋_GB2312" w:cs="仿宋_GB2312"/>
          <w:color w:val="auto"/>
          <w:kern w:val="2"/>
          <w:sz w:val="32"/>
          <w:szCs w:val="32"/>
          <w:lang w:val="en-US" w:eastAsia="zh-CN" w:bidi="ar"/>
        </w:rPr>
      </w:pPr>
      <w:r>
        <w:rPr>
          <w:rFonts w:hint="eastAsia" w:ascii="仿宋_GB2312" w:hAnsi="仿宋_GB2312" w:eastAsia="仿宋_GB2312" w:cs="仿宋_GB2312"/>
          <w:color w:val="auto"/>
          <w:kern w:val="2"/>
          <w:sz w:val="32"/>
          <w:szCs w:val="32"/>
          <w:lang w:val="en-US" w:eastAsia="zh-CN" w:bidi="ar"/>
        </w:rPr>
        <w:t>7.2 若乙方提交的溯源文件缺失、伪造、与实际批次不符，或未按要求落实信息化追溯、篡改运输轨迹数据的，每出现 1 次，甲方有权从乙方入库履约保证金或应付货款中扣除</w:t>
      </w:r>
      <w:r>
        <w:rPr>
          <w:rStyle w:val="14"/>
          <w:rFonts w:hint="eastAsia" w:ascii="仿宋_GB2312" w:hAnsi="仿宋_GB2312" w:eastAsia="仿宋_GB2312" w:cs="仿宋_GB2312"/>
          <w:color w:val="auto"/>
          <w:kern w:val="2"/>
          <w:sz w:val="32"/>
          <w:szCs w:val="32"/>
          <w:lang w:val="en-US" w:eastAsia="zh-CN" w:bidi="ar"/>
        </w:rPr>
        <w:t>5000-20000元</w:t>
      </w:r>
      <w:r>
        <w:rPr>
          <w:rFonts w:hint="eastAsia" w:ascii="仿宋_GB2312" w:hAnsi="仿宋_GB2312" w:eastAsia="仿宋_GB2312" w:cs="仿宋_GB2312"/>
          <w:color w:val="auto"/>
          <w:kern w:val="2"/>
          <w:sz w:val="32"/>
          <w:szCs w:val="32"/>
          <w:lang w:val="en-US" w:eastAsia="zh-CN" w:bidi="ar"/>
        </w:rPr>
        <w:t>违约金；累计出现 2 次及以上的，甲方有权暂停乙方报价资格；累计出现 3 次及以上的，甲方有权取消乙方入库资格并扣除全部入库履约保证金。</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仿宋_GB2312" w:eastAsia="仿宋_GB2312" w:cs="仿宋_GB2312"/>
          <w:color w:val="auto"/>
          <w:kern w:val="2"/>
          <w:sz w:val="32"/>
          <w:szCs w:val="32"/>
          <w:lang w:val="en-US" w:eastAsia="zh-CN" w:bidi="ar"/>
        </w:rPr>
      </w:pPr>
      <w:r>
        <w:rPr>
          <w:rFonts w:hint="eastAsia" w:ascii="仿宋_GB2312" w:hAnsi="仿宋_GB2312" w:eastAsia="仿宋_GB2312" w:cs="仿宋_GB2312"/>
          <w:color w:val="auto"/>
          <w:kern w:val="2"/>
          <w:sz w:val="32"/>
          <w:szCs w:val="32"/>
          <w:lang w:val="en-US" w:eastAsia="zh-CN" w:bidi="ar"/>
        </w:rPr>
        <w:t>7.3 因海砂来源不合法、溯源链条断裂给甲方造成行政处罚、项目停工、第三方索赔、名誉损失等全部直接及间接损失的，由乙方与丙方承担连带赔偿责任；情节严重涉嫌违法犯罪的，甲方有权移交相关司法机关处理。</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2"/>
          <w:sz w:val="32"/>
          <w:szCs w:val="32"/>
          <w:lang w:val="en-US" w:eastAsia="zh-CN" w:bidi="ar"/>
        </w:rPr>
        <w:t xml:space="preserve"> 7.4 乙方、丙方存在违规情形后，未按甲方要求限期整改、补足资料、赔偿损失的，甲方有权直接终止本协议及主协议，且乙方三年内不得参与甲方同类项目入库申请。</w:t>
      </w:r>
    </w:p>
    <w:p>
      <w:pPr>
        <w:keepNext w:val="0"/>
        <w:keepLines w:val="0"/>
        <w:widowControl w:val="0"/>
        <w:suppressLineNumbers w:val="0"/>
        <w:pBdr>
          <w:top w:val="none" w:color="auto" w:sz="0" w:space="0"/>
          <w:left w:val="none" w:color="auto" w:sz="0" w:space="0"/>
          <w:right w:val="none" w:color="auto" w:sz="0" w:space="0"/>
        </w:pBdr>
        <w:spacing w:before="0" w:beforeAutospacing="0" w:after="0" w:afterAutospacing="0" w:line="560" w:lineRule="exact"/>
        <w:ind w:left="0" w:right="0"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第八条 其他约定</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仿宋_GB2312" w:eastAsia="仿宋_GB2312" w:cs="仿宋_GB2312"/>
          <w:color w:val="auto"/>
          <w:kern w:val="2"/>
          <w:sz w:val="32"/>
          <w:szCs w:val="32"/>
          <w:lang w:val="en-US" w:eastAsia="zh-CN" w:bidi="ar"/>
        </w:rPr>
      </w:pPr>
      <w:r>
        <w:rPr>
          <w:rFonts w:hint="eastAsia" w:ascii="仿宋_GB2312" w:hAnsi="仿宋_GB2312" w:eastAsia="仿宋_GB2312" w:cs="仿宋_GB2312"/>
          <w:color w:val="auto"/>
          <w:kern w:val="2"/>
          <w:sz w:val="32"/>
          <w:szCs w:val="32"/>
          <w:lang w:val="en-US" w:eastAsia="zh-CN" w:bidi="ar"/>
        </w:rPr>
        <w:t>8.1 本协议有效期与主协议一致，自三方签字盖章之日起生效；主协议解除或终止的，本协议同步终止，但已发生批次的溯源责任及违约责任不受影响。</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仿宋_GB2312" w:eastAsia="仿宋_GB2312" w:cs="仿宋_GB2312"/>
          <w:color w:val="auto"/>
          <w:kern w:val="2"/>
          <w:sz w:val="32"/>
          <w:szCs w:val="32"/>
          <w:lang w:val="en-US" w:eastAsia="zh-CN" w:bidi="ar"/>
        </w:rPr>
      </w:pPr>
      <w:r>
        <w:rPr>
          <w:rFonts w:hint="eastAsia" w:ascii="仿宋_GB2312" w:hAnsi="仿宋_GB2312" w:eastAsia="仿宋_GB2312" w:cs="仿宋_GB2312"/>
          <w:color w:val="auto"/>
          <w:kern w:val="2"/>
          <w:sz w:val="32"/>
          <w:szCs w:val="32"/>
          <w:lang w:val="en-US" w:eastAsia="zh-CN" w:bidi="ar"/>
        </w:rPr>
        <w:t xml:space="preserve"> 8.2 因本协议产生的争议，三方协商解决；协商不成的，按主协议约定的争议解决方式处理，向甲方所在地人民法院提起诉讼。 </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2"/>
          <w:sz w:val="32"/>
          <w:szCs w:val="32"/>
          <w:lang w:val="en-US" w:eastAsia="zh-CN" w:bidi="ar"/>
        </w:rPr>
        <w:t>8.3 本协议一式陆份，甲方执贰份，乙方执贰份，丙方执贰份，具有同等法律效力。</w:t>
      </w:r>
    </w:p>
    <w:tbl>
      <w:tblPr>
        <w:tblStyle w:val="12"/>
        <w:tblpPr w:leftFromText="180" w:rightFromText="180" w:vertAnchor="text" w:horzAnchor="page" w:tblpX="898" w:tblpY="1512"/>
        <w:tblOverlap w:val="never"/>
        <w:tblW w:w="572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3382"/>
        <w:gridCol w:w="3360"/>
        <w:gridCol w:w="30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1727"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pPr>
              <w:keepNext w:val="0"/>
              <w:keepLines w:val="0"/>
              <w:widowControl w:val="0"/>
              <w:suppressLineNumbers w:val="0"/>
              <w:pBdr>
                <w:top w:val="none" w:color="auto" w:sz="0" w:space="0"/>
                <w:left w:val="none" w:color="auto" w:sz="0" w:space="0"/>
                <w:bottom w:val="none" w:color="auto" w:sz="0" w:space="0"/>
                <w:right w:val="none" w:color="auto" w:sz="0" w:space="0"/>
              </w:pBdr>
              <w:spacing w:line="560" w:lineRule="exact"/>
              <w:ind w:firstLine="0" w:firstLineChars="0"/>
              <w:jc w:val="left"/>
              <w:rPr>
                <w:rFonts w:hint="eastAsia" w:ascii="仿宋_GB2312" w:hAnsi="仿宋_GB2312" w:eastAsia="仿宋_GB2312" w:cs="仿宋_GB2312"/>
                <w:b w:val="0"/>
                <w:bCs w:val="0"/>
                <w:sz w:val="32"/>
                <w:szCs w:val="32"/>
                <w:lang w:bidi="ar"/>
              </w:rPr>
            </w:pPr>
            <w:r>
              <w:rPr>
                <w:rFonts w:hint="eastAsia" w:ascii="仿宋_GB2312" w:hAnsi="仿宋_GB2312" w:eastAsia="仿宋_GB2312" w:cs="仿宋_GB2312"/>
                <w:b w:val="0"/>
                <w:bCs w:val="0"/>
                <w:kern w:val="2"/>
                <w:sz w:val="32"/>
                <w:szCs w:val="32"/>
                <w:lang w:val="en-US" w:eastAsia="zh-CN" w:bidi="ar"/>
              </w:rPr>
              <w:t>甲方（采购人）（盖章）：佛山市顺博城市发展有限公司</w:t>
            </w:r>
          </w:p>
        </w:tc>
        <w:tc>
          <w:tcPr>
            <w:tcW w:w="1716"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pPr>
              <w:keepNext w:val="0"/>
              <w:keepLines w:val="0"/>
              <w:widowControl w:val="0"/>
              <w:suppressLineNumbers w:val="0"/>
              <w:pBdr>
                <w:top w:val="none" w:color="auto" w:sz="0" w:space="0"/>
                <w:left w:val="none" w:color="auto" w:sz="0" w:space="0"/>
                <w:bottom w:val="none" w:color="auto" w:sz="0" w:space="0"/>
                <w:right w:val="none" w:color="auto" w:sz="0" w:space="0"/>
              </w:pBdr>
              <w:spacing w:line="560" w:lineRule="exact"/>
              <w:ind w:firstLine="0" w:firstLineChars="0"/>
              <w:jc w:val="left"/>
              <w:rPr>
                <w:rFonts w:hint="eastAsia" w:ascii="仿宋_GB2312" w:hAnsi="仿宋_GB2312" w:eastAsia="仿宋_GB2312" w:cs="仿宋_GB2312"/>
                <w:b w:val="0"/>
                <w:bCs w:val="0"/>
                <w:sz w:val="32"/>
                <w:szCs w:val="32"/>
                <w:lang w:bidi="ar"/>
              </w:rPr>
            </w:pPr>
            <w:r>
              <w:rPr>
                <w:rFonts w:hint="eastAsia" w:ascii="仿宋_GB2312" w:hAnsi="仿宋_GB2312" w:eastAsia="仿宋_GB2312" w:cs="仿宋_GB2312"/>
                <w:b w:val="0"/>
                <w:bCs w:val="0"/>
                <w:kern w:val="2"/>
                <w:sz w:val="32"/>
                <w:szCs w:val="32"/>
                <w:lang w:val="en-US" w:eastAsia="zh-CN" w:bidi="ar"/>
              </w:rPr>
              <w:t>乙方（入库供应商）（盖章）：</w:t>
            </w:r>
          </w:p>
        </w:tc>
        <w:tc>
          <w:tcPr>
            <w:tcW w:w="1555"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pPr>
              <w:keepNext w:val="0"/>
              <w:keepLines w:val="0"/>
              <w:widowControl w:val="0"/>
              <w:suppressLineNumbers w:val="0"/>
              <w:pBdr>
                <w:top w:val="none" w:color="auto" w:sz="0" w:space="0"/>
                <w:left w:val="none" w:color="auto" w:sz="0" w:space="0"/>
                <w:bottom w:val="none" w:color="auto" w:sz="0" w:space="0"/>
                <w:right w:val="none" w:color="auto" w:sz="0" w:space="0"/>
              </w:pBdr>
              <w:spacing w:line="560" w:lineRule="exact"/>
              <w:ind w:firstLine="0" w:firstLineChars="0"/>
              <w:jc w:val="left"/>
              <w:rPr>
                <w:rFonts w:hint="eastAsia" w:ascii="仿宋_GB2312" w:hAnsi="仿宋_GB2312" w:eastAsia="仿宋_GB2312" w:cs="仿宋_GB2312"/>
                <w:b w:val="0"/>
                <w:bCs w:val="0"/>
                <w:sz w:val="32"/>
                <w:szCs w:val="32"/>
                <w:lang w:bidi="ar"/>
              </w:rPr>
            </w:pPr>
            <w:r>
              <w:rPr>
                <w:rFonts w:hint="eastAsia" w:ascii="仿宋_GB2312" w:hAnsi="仿宋_GB2312" w:eastAsia="仿宋_GB2312" w:cs="仿宋_GB2312"/>
                <w:b w:val="0"/>
                <w:bCs w:val="0"/>
                <w:kern w:val="2"/>
                <w:sz w:val="32"/>
                <w:szCs w:val="32"/>
                <w:lang w:val="en-US" w:eastAsia="zh-CN" w:bidi="ar"/>
              </w:rPr>
              <w:t>丙方（砂源方）（盖章）：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727"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pPr>
              <w:keepNext w:val="0"/>
              <w:keepLines w:val="0"/>
              <w:widowControl w:val="0"/>
              <w:suppressLineNumbers w:val="0"/>
              <w:pBdr>
                <w:top w:val="none" w:color="auto" w:sz="0" w:space="0"/>
                <w:left w:val="none" w:color="auto" w:sz="0" w:space="0"/>
                <w:bottom w:val="none" w:color="auto" w:sz="0" w:space="0"/>
                <w:right w:val="none" w:color="auto" w:sz="0" w:space="0"/>
              </w:pBdr>
              <w:spacing w:line="560" w:lineRule="exact"/>
              <w:ind w:firstLine="0" w:firstLineChars="0"/>
              <w:jc w:val="left"/>
              <w:rPr>
                <w:rFonts w:hint="eastAsia" w:ascii="仿宋_GB2312" w:hAnsi="仿宋_GB2312" w:eastAsia="仿宋_GB2312" w:cs="仿宋_GB2312"/>
                <w:sz w:val="32"/>
                <w:szCs w:val="32"/>
                <w:lang w:bidi="ar"/>
              </w:rPr>
            </w:pPr>
            <w:r>
              <w:rPr>
                <w:rFonts w:hint="eastAsia" w:ascii="仿宋_GB2312" w:hAnsi="仿宋_GB2312" w:eastAsia="仿宋_GB2312" w:cs="仿宋_GB2312"/>
                <w:kern w:val="2"/>
                <w:sz w:val="32"/>
                <w:szCs w:val="32"/>
                <w:lang w:val="en-US" w:eastAsia="zh-CN" w:bidi="ar"/>
              </w:rPr>
              <w:t>法定代表人/授权代表（签字或盖章）：</w:t>
            </w:r>
          </w:p>
        </w:tc>
        <w:tc>
          <w:tcPr>
            <w:tcW w:w="1716"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pPr>
              <w:keepNext w:val="0"/>
              <w:keepLines w:val="0"/>
              <w:widowControl w:val="0"/>
              <w:suppressLineNumbers w:val="0"/>
              <w:pBdr>
                <w:top w:val="none" w:color="auto" w:sz="0" w:space="0"/>
                <w:left w:val="none" w:color="auto" w:sz="0" w:space="0"/>
                <w:bottom w:val="none" w:color="auto" w:sz="0" w:space="0"/>
                <w:right w:val="none" w:color="auto" w:sz="0" w:space="0"/>
              </w:pBdr>
              <w:spacing w:line="560" w:lineRule="exact"/>
              <w:ind w:firstLine="0" w:firstLineChars="0"/>
              <w:jc w:val="left"/>
              <w:rPr>
                <w:rFonts w:hint="eastAsia" w:ascii="仿宋_GB2312" w:hAnsi="仿宋_GB2312" w:eastAsia="仿宋_GB2312" w:cs="仿宋_GB2312"/>
                <w:sz w:val="32"/>
                <w:szCs w:val="32"/>
                <w:lang w:bidi="ar"/>
              </w:rPr>
            </w:pPr>
            <w:r>
              <w:rPr>
                <w:rFonts w:hint="eastAsia" w:ascii="仿宋_GB2312" w:hAnsi="仿宋_GB2312" w:eastAsia="仿宋_GB2312" w:cs="仿宋_GB2312"/>
                <w:kern w:val="2"/>
                <w:sz w:val="32"/>
                <w:szCs w:val="32"/>
                <w:lang w:val="en-US" w:eastAsia="zh-CN" w:bidi="ar"/>
              </w:rPr>
              <w:t>法定代表人/授权代表（签字或盖章）：</w:t>
            </w:r>
          </w:p>
        </w:tc>
        <w:tc>
          <w:tcPr>
            <w:tcW w:w="1555"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pPr>
              <w:keepNext w:val="0"/>
              <w:keepLines w:val="0"/>
              <w:widowControl w:val="0"/>
              <w:suppressLineNumbers w:val="0"/>
              <w:pBdr>
                <w:top w:val="none" w:color="auto" w:sz="0" w:space="0"/>
                <w:left w:val="none" w:color="auto" w:sz="0" w:space="0"/>
                <w:bottom w:val="none" w:color="auto" w:sz="0" w:space="0"/>
                <w:right w:val="none" w:color="auto" w:sz="0" w:space="0"/>
              </w:pBdr>
              <w:spacing w:line="560" w:lineRule="exact"/>
              <w:ind w:firstLine="0" w:firstLineChars="0"/>
              <w:jc w:val="left"/>
              <w:rPr>
                <w:rFonts w:hint="eastAsia" w:ascii="仿宋_GB2312" w:hAnsi="仿宋_GB2312" w:eastAsia="仿宋_GB2312" w:cs="仿宋_GB2312"/>
                <w:sz w:val="32"/>
                <w:szCs w:val="32"/>
                <w:lang w:bidi="ar"/>
              </w:rPr>
            </w:pPr>
            <w:r>
              <w:rPr>
                <w:rFonts w:hint="eastAsia" w:ascii="仿宋_GB2312" w:hAnsi="仿宋_GB2312" w:eastAsia="仿宋_GB2312" w:cs="仿宋_GB2312"/>
                <w:kern w:val="2"/>
                <w:sz w:val="32"/>
                <w:szCs w:val="32"/>
                <w:lang w:val="en-US" w:eastAsia="zh-CN" w:bidi="ar"/>
              </w:rPr>
              <w:t>法定代表人/授权代表（签字或盖章）：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727"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pPr>
              <w:keepNext w:val="0"/>
              <w:keepLines w:val="0"/>
              <w:widowControl w:val="0"/>
              <w:suppressLineNumbers w:val="0"/>
              <w:pBdr>
                <w:top w:val="none" w:color="auto" w:sz="0" w:space="0"/>
                <w:left w:val="none" w:color="auto" w:sz="0" w:space="0"/>
                <w:bottom w:val="none" w:color="auto" w:sz="0" w:space="0"/>
                <w:right w:val="none" w:color="auto" w:sz="0" w:space="0"/>
              </w:pBdr>
              <w:spacing w:line="560" w:lineRule="exact"/>
              <w:ind w:firstLine="0" w:firstLineChars="0"/>
              <w:jc w:val="left"/>
              <w:rPr>
                <w:rFonts w:hint="eastAsia" w:ascii="仿宋_GB2312" w:hAnsi="仿宋_GB2312" w:eastAsia="仿宋_GB2312" w:cs="仿宋_GB2312"/>
                <w:sz w:val="32"/>
                <w:szCs w:val="32"/>
                <w:lang w:bidi="ar"/>
              </w:rPr>
            </w:pPr>
          </w:p>
        </w:tc>
        <w:tc>
          <w:tcPr>
            <w:tcW w:w="1716"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pPr>
              <w:keepNext w:val="0"/>
              <w:keepLines w:val="0"/>
              <w:widowControl w:val="0"/>
              <w:suppressLineNumbers w:val="0"/>
              <w:pBdr>
                <w:top w:val="none" w:color="auto" w:sz="0" w:space="0"/>
                <w:left w:val="none" w:color="auto" w:sz="0" w:space="0"/>
                <w:bottom w:val="none" w:color="auto" w:sz="0" w:space="0"/>
                <w:right w:val="none" w:color="auto" w:sz="0" w:space="0"/>
              </w:pBdr>
              <w:spacing w:line="560" w:lineRule="exact"/>
              <w:ind w:firstLine="0" w:firstLineChars="0"/>
              <w:jc w:val="left"/>
              <w:rPr>
                <w:rFonts w:hint="eastAsia" w:ascii="仿宋_GB2312" w:hAnsi="仿宋_GB2312" w:eastAsia="仿宋_GB2312" w:cs="仿宋_GB2312"/>
                <w:sz w:val="32"/>
                <w:szCs w:val="32"/>
                <w:lang w:bidi="ar"/>
              </w:rPr>
            </w:pPr>
          </w:p>
        </w:tc>
        <w:tc>
          <w:tcPr>
            <w:tcW w:w="1555"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pPr>
              <w:keepNext w:val="0"/>
              <w:keepLines w:val="0"/>
              <w:widowControl w:val="0"/>
              <w:suppressLineNumbers w:val="0"/>
              <w:pBdr>
                <w:top w:val="none" w:color="auto" w:sz="0" w:space="0"/>
                <w:left w:val="none" w:color="auto" w:sz="0" w:space="0"/>
                <w:bottom w:val="none" w:color="auto" w:sz="0" w:space="0"/>
                <w:right w:val="none" w:color="auto" w:sz="0" w:space="0"/>
              </w:pBdr>
              <w:spacing w:line="560" w:lineRule="exact"/>
              <w:ind w:firstLine="0" w:firstLineChars="0"/>
              <w:jc w:val="left"/>
              <w:rPr>
                <w:rFonts w:hint="eastAsia" w:ascii="仿宋_GB2312" w:hAnsi="仿宋_GB2312" w:eastAsia="仿宋_GB2312" w:cs="仿宋_GB2312"/>
                <w:sz w:val="32"/>
                <w:szCs w:val="32"/>
                <w:lang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727"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pPr>
              <w:keepNext w:val="0"/>
              <w:keepLines w:val="0"/>
              <w:widowControl w:val="0"/>
              <w:suppressLineNumbers w:val="0"/>
              <w:pBdr>
                <w:top w:val="none" w:color="auto" w:sz="0" w:space="0"/>
                <w:left w:val="none" w:color="auto" w:sz="0" w:space="0"/>
                <w:bottom w:val="none" w:color="auto" w:sz="0" w:space="0"/>
                <w:right w:val="none" w:color="auto" w:sz="0" w:space="0"/>
              </w:pBdr>
              <w:spacing w:line="560" w:lineRule="exact"/>
              <w:ind w:firstLine="0" w:firstLineChars="0"/>
              <w:jc w:val="left"/>
              <w:rPr>
                <w:rFonts w:hint="eastAsia" w:ascii="仿宋_GB2312" w:hAnsi="仿宋_GB2312" w:eastAsia="仿宋_GB2312" w:cs="仿宋_GB2312"/>
                <w:sz w:val="32"/>
                <w:szCs w:val="32"/>
                <w:lang w:bidi="ar"/>
              </w:rPr>
            </w:pPr>
            <w:r>
              <w:rPr>
                <w:rFonts w:hint="eastAsia" w:ascii="仿宋_GB2312" w:hAnsi="仿宋_GB2312" w:eastAsia="仿宋_GB2312" w:cs="仿宋_GB2312"/>
                <w:kern w:val="2"/>
                <w:sz w:val="32"/>
                <w:szCs w:val="32"/>
                <w:lang w:val="en-US" w:eastAsia="zh-CN" w:bidi="ar"/>
              </w:rPr>
              <w:t>日期：  年  月   日</w:t>
            </w:r>
          </w:p>
        </w:tc>
        <w:tc>
          <w:tcPr>
            <w:tcW w:w="1716"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pPr>
              <w:keepNext w:val="0"/>
              <w:keepLines w:val="0"/>
              <w:widowControl w:val="0"/>
              <w:suppressLineNumbers w:val="0"/>
              <w:pBdr>
                <w:top w:val="none" w:color="auto" w:sz="0" w:space="0"/>
                <w:left w:val="none" w:color="auto" w:sz="0" w:space="0"/>
                <w:bottom w:val="none" w:color="auto" w:sz="0" w:space="0"/>
                <w:right w:val="none" w:color="auto" w:sz="0" w:space="0"/>
              </w:pBdr>
              <w:spacing w:line="560" w:lineRule="exact"/>
              <w:ind w:firstLine="0" w:firstLineChars="0"/>
              <w:jc w:val="left"/>
              <w:rPr>
                <w:rFonts w:hint="eastAsia" w:ascii="仿宋_GB2312" w:hAnsi="仿宋_GB2312" w:eastAsia="仿宋_GB2312" w:cs="仿宋_GB2312"/>
                <w:sz w:val="32"/>
                <w:szCs w:val="32"/>
                <w:lang w:bidi="ar"/>
              </w:rPr>
            </w:pPr>
            <w:r>
              <w:rPr>
                <w:rFonts w:hint="eastAsia" w:ascii="仿宋_GB2312" w:hAnsi="仿宋_GB2312" w:eastAsia="仿宋_GB2312" w:cs="仿宋_GB2312"/>
                <w:kern w:val="2"/>
                <w:sz w:val="32"/>
                <w:szCs w:val="32"/>
                <w:lang w:val="en-US" w:eastAsia="zh-CN" w:bidi="ar"/>
              </w:rPr>
              <w:t>日期：   年   月  日</w:t>
            </w:r>
          </w:p>
        </w:tc>
        <w:tc>
          <w:tcPr>
            <w:tcW w:w="1555"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pPr>
              <w:keepNext w:val="0"/>
              <w:keepLines w:val="0"/>
              <w:widowControl w:val="0"/>
              <w:suppressLineNumbers w:val="0"/>
              <w:pBdr>
                <w:top w:val="none" w:color="auto" w:sz="0" w:space="0"/>
                <w:left w:val="none" w:color="auto" w:sz="0" w:space="0"/>
                <w:bottom w:val="none" w:color="auto" w:sz="0" w:space="0"/>
                <w:right w:val="none" w:color="auto" w:sz="0" w:space="0"/>
              </w:pBdr>
              <w:spacing w:line="560" w:lineRule="exact"/>
              <w:ind w:firstLine="0" w:firstLineChars="0"/>
              <w:jc w:val="left"/>
              <w:rPr>
                <w:rFonts w:hint="eastAsia" w:ascii="仿宋_GB2312" w:hAnsi="仿宋_GB2312" w:eastAsia="仿宋_GB2312" w:cs="仿宋_GB2312"/>
                <w:sz w:val="32"/>
                <w:szCs w:val="32"/>
                <w:lang w:bidi="ar"/>
              </w:rPr>
            </w:pPr>
            <w:r>
              <w:rPr>
                <w:rFonts w:hint="eastAsia" w:ascii="仿宋_GB2312" w:hAnsi="仿宋_GB2312" w:eastAsia="仿宋_GB2312" w:cs="仿宋_GB2312"/>
                <w:kern w:val="2"/>
                <w:sz w:val="32"/>
                <w:szCs w:val="32"/>
                <w:lang w:val="en-US" w:eastAsia="zh-CN" w:bidi="ar"/>
              </w:rPr>
              <w:t>日期：  年  月  日</w:t>
            </w:r>
          </w:p>
        </w:tc>
      </w:tr>
    </w:tbl>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仿宋_GB2312" w:eastAsia="仿宋_GB2312" w:cs="仿宋_GB2312"/>
          <w:kern w:val="2"/>
          <w:sz w:val="32"/>
          <w:szCs w:val="32"/>
          <w:lang w:val="en-US" w:eastAsia="zh-CN" w:bidi="ar"/>
        </w:rPr>
      </w:pPr>
    </w:p>
    <w:p>
      <w:pPr>
        <w:widowControl w:val="0"/>
        <w:adjustRightInd/>
        <w:snapToGrid/>
        <w:spacing w:before="0" w:beforeLines="-2147483648" w:line="560" w:lineRule="exact"/>
        <w:ind w:firstLine="640" w:firstLineChars="200"/>
        <w:jc w:val="left"/>
        <w:rPr>
          <w:rFonts w:hint="eastAsia" w:ascii="仿宋_GB2312" w:hAnsi="仿宋_GB2312" w:eastAsia="仿宋_GB2312" w:cs="仿宋_GB2312"/>
          <w:b w:val="0"/>
          <w:bCs w:val="0"/>
          <w:kern w:val="1"/>
          <w:sz w:val="32"/>
          <w:szCs w:val="32"/>
        </w:rPr>
      </w:pPr>
      <w:bookmarkStart w:id="0" w:name="_GoBack"/>
      <w:bookmarkEnd w:id="0"/>
      <w:r>
        <w:rPr>
          <w:rFonts w:hint="eastAsia" w:ascii="仿宋_GB2312" w:hAnsi="仿宋_GB2312" w:eastAsia="仿宋_GB2312" w:cs="仿宋_GB2312"/>
          <w:kern w:val="2"/>
          <w:sz w:val="32"/>
          <w:szCs w:val="32"/>
          <w:lang w:val="en-US" w:eastAsia="zh-CN" w:bidi="ar"/>
        </w:rPr>
        <w:t>（以下无正文）</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RiNTFlYTZhNzRkZWNhM2JmZDExOTk5YmJhYzQ4MmEifQ=="/>
  </w:docVars>
  <w:rsids>
    <w:rsidRoot w:val="27014909"/>
    <w:rsid w:val="009A49B9"/>
    <w:rsid w:val="025C21D8"/>
    <w:rsid w:val="04474837"/>
    <w:rsid w:val="04C87A8D"/>
    <w:rsid w:val="05A664CF"/>
    <w:rsid w:val="063F3CAA"/>
    <w:rsid w:val="0692498F"/>
    <w:rsid w:val="07B343AF"/>
    <w:rsid w:val="07B66C10"/>
    <w:rsid w:val="094025AA"/>
    <w:rsid w:val="09802716"/>
    <w:rsid w:val="0B3971D8"/>
    <w:rsid w:val="0B8C227D"/>
    <w:rsid w:val="0C4F4AA9"/>
    <w:rsid w:val="0D120629"/>
    <w:rsid w:val="0D324A9B"/>
    <w:rsid w:val="0E1261D4"/>
    <w:rsid w:val="0E176D63"/>
    <w:rsid w:val="0F0C70D7"/>
    <w:rsid w:val="0F300FF3"/>
    <w:rsid w:val="0F6C61C1"/>
    <w:rsid w:val="10832895"/>
    <w:rsid w:val="108C3583"/>
    <w:rsid w:val="112867B1"/>
    <w:rsid w:val="11C46EFA"/>
    <w:rsid w:val="12360062"/>
    <w:rsid w:val="13A835D4"/>
    <w:rsid w:val="16C47A09"/>
    <w:rsid w:val="177C6796"/>
    <w:rsid w:val="17F24E3B"/>
    <w:rsid w:val="18510E51"/>
    <w:rsid w:val="18CE05BD"/>
    <w:rsid w:val="19667A75"/>
    <w:rsid w:val="1B492A5F"/>
    <w:rsid w:val="1BC77A88"/>
    <w:rsid w:val="1C322899"/>
    <w:rsid w:val="1C807D56"/>
    <w:rsid w:val="1D0E5DB7"/>
    <w:rsid w:val="1D160411"/>
    <w:rsid w:val="1D660B43"/>
    <w:rsid w:val="1D7E3ED0"/>
    <w:rsid w:val="1DBE3678"/>
    <w:rsid w:val="1DC43031"/>
    <w:rsid w:val="1DD965AC"/>
    <w:rsid w:val="1F3C56CE"/>
    <w:rsid w:val="1F5B6042"/>
    <w:rsid w:val="1FA43C0D"/>
    <w:rsid w:val="22BA5FA6"/>
    <w:rsid w:val="24083209"/>
    <w:rsid w:val="24304BEB"/>
    <w:rsid w:val="27014909"/>
    <w:rsid w:val="28E340D4"/>
    <w:rsid w:val="28EE4920"/>
    <w:rsid w:val="29082317"/>
    <w:rsid w:val="298408E8"/>
    <w:rsid w:val="29D34CA0"/>
    <w:rsid w:val="2A191B4E"/>
    <w:rsid w:val="2A196C12"/>
    <w:rsid w:val="2B611DA1"/>
    <w:rsid w:val="2BB54C73"/>
    <w:rsid w:val="2C25419C"/>
    <w:rsid w:val="2C331809"/>
    <w:rsid w:val="2D417F1C"/>
    <w:rsid w:val="2D8754D1"/>
    <w:rsid w:val="2DD51EBC"/>
    <w:rsid w:val="2DEB702A"/>
    <w:rsid w:val="2EED5DFA"/>
    <w:rsid w:val="307C6001"/>
    <w:rsid w:val="30CC3F52"/>
    <w:rsid w:val="31CD083A"/>
    <w:rsid w:val="358B78E2"/>
    <w:rsid w:val="36475BB9"/>
    <w:rsid w:val="36B5555D"/>
    <w:rsid w:val="3720634A"/>
    <w:rsid w:val="374335C0"/>
    <w:rsid w:val="391529D1"/>
    <w:rsid w:val="39F41123"/>
    <w:rsid w:val="39F7185E"/>
    <w:rsid w:val="3AA02F2F"/>
    <w:rsid w:val="3C547A73"/>
    <w:rsid w:val="3C5509A9"/>
    <w:rsid w:val="3D232F43"/>
    <w:rsid w:val="3D2E66FF"/>
    <w:rsid w:val="3DCF7FC2"/>
    <w:rsid w:val="3EAE11A3"/>
    <w:rsid w:val="3F13049B"/>
    <w:rsid w:val="40641857"/>
    <w:rsid w:val="406C0729"/>
    <w:rsid w:val="41D15EE0"/>
    <w:rsid w:val="420A37FE"/>
    <w:rsid w:val="42262C67"/>
    <w:rsid w:val="43121718"/>
    <w:rsid w:val="44EF19A2"/>
    <w:rsid w:val="466A6D0E"/>
    <w:rsid w:val="468E1F13"/>
    <w:rsid w:val="46A75812"/>
    <w:rsid w:val="46CE470D"/>
    <w:rsid w:val="46D26D5E"/>
    <w:rsid w:val="47B04221"/>
    <w:rsid w:val="48B9571B"/>
    <w:rsid w:val="48BB2867"/>
    <w:rsid w:val="49914E3D"/>
    <w:rsid w:val="4A9A0BDF"/>
    <w:rsid w:val="4B7E78DE"/>
    <w:rsid w:val="4BA138ED"/>
    <w:rsid w:val="4C922FCC"/>
    <w:rsid w:val="4D5C3749"/>
    <w:rsid w:val="4E0C3F18"/>
    <w:rsid w:val="4FC1374C"/>
    <w:rsid w:val="4FCC577F"/>
    <w:rsid w:val="50320E6C"/>
    <w:rsid w:val="51420489"/>
    <w:rsid w:val="522F5DAC"/>
    <w:rsid w:val="544626A4"/>
    <w:rsid w:val="54F66049"/>
    <w:rsid w:val="55B371D5"/>
    <w:rsid w:val="55B43F4E"/>
    <w:rsid w:val="562068E6"/>
    <w:rsid w:val="56545E8D"/>
    <w:rsid w:val="567F5BE1"/>
    <w:rsid w:val="56831F47"/>
    <w:rsid w:val="56CE4FA6"/>
    <w:rsid w:val="58D6471A"/>
    <w:rsid w:val="58F50A01"/>
    <w:rsid w:val="59A165ED"/>
    <w:rsid w:val="5A6219E7"/>
    <w:rsid w:val="5AE73F38"/>
    <w:rsid w:val="5B800661"/>
    <w:rsid w:val="5C0B3DCC"/>
    <w:rsid w:val="5C6803F0"/>
    <w:rsid w:val="5D7B375C"/>
    <w:rsid w:val="5E1518F1"/>
    <w:rsid w:val="5E656AB8"/>
    <w:rsid w:val="5F196936"/>
    <w:rsid w:val="5F6F0C17"/>
    <w:rsid w:val="5FDE1EE4"/>
    <w:rsid w:val="60AD7508"/>
    <w:rsid w:val="60E23A37"/>
    <w:rsid w:val="618C1A96"/>
    <w:rsid w:val="63307B80"/>
    <w:rsid w:val="63BA3667"/>
    <w:rsid w:val="64744C33"/>
    <w:rsid w:val="65623C4A"/>
    <w:rsid w:val="65775D37"/>
    <w:rsid w:val="65CA07F4"/>
    <w:rsid w:val="65D17536"/>
    <w:rsid w:val="66426474"/>
    <w:rsid w:val="66923CAD"/>
    <w:rsid w:val="66EB2F47"/>
    <w:rsid w:val="695B70A6"/>
    <w:rsid w:val="6A0326AA"/>
    <w:rsid w:val="6A6B6BB1"/>
    <w:rsid w:val="6AE33768"/>
    <w:rsid w:val="6B657DE5"/>
    <w:rsid w:val="6C046EE8"/>
    <w:rsid w:val="6E50180B"/>
    <w:rsid w:val="6E60228C"/>
    <w:rsid w:val="70BB66F7"/>
    <w:rsid w:val="71415599"/>
    <w:rsid w:val="72D43A9C"/>
    <w:rsid w:val="73811E89"/>
    <w:rsid w:val="742021CC"/>
    <w:rsid w:val="744F2CD2"/>
    <w:rsid w:val="75622D43"/>
    <w:rsid w:val="762C6D40"/>
    <w:rsid w:val="76316A56"/>
    <w:rsid w:val="76717E16"/>
    <w:rsid w:val="76960D3B"/>
    <w:rsid w:val="769651AB"/>
    <w:rsid w:val="76B56924"/>
    <w:rsid w:val="782020E8"/>
    <w:rsid w:val="78644647"/>
    <w:rsid w:val="78CE11ED"/>
    <w:rsid w:val="79945BC9"/>
    <w:rsid w:val="79CD03EF"/>
    <w:rsid w:val="7D3620FF"/>
    <w:rsid w:val="7E6C0639"/>
    <w:rsid w:val="7EE1743B"/>
    <w:rsid w:val="7F9D7069"/>
    <w:rsid w:val="7FD543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Normal Indent"/>
    <w:basedOn w:val="1"/>
    <w:next w:val="1"/>
    <w:unhideWhenUsed/>
    <w:qFormat/>
    <w:uiPriority w:val="0"/>
    <w:pPr>
      <w:ind w:firstLine="420" w:firstLineChars="200"/>
    </w:pPr>
    <w:rPr>
      <w:color w:val="000000"/>
      <w:kern w:val="0"/>
      <w:sz w:val="30"/>
      <w:szCs w:val="20"/>
    </w:rPr>
  </w:style>
  <w:style w:type="paragraph" w:styleId="6">
    <w:name w:val="annotation text"/>
    <w:basedOn w:val="1"/>
    <w:qFormat/>
    <w:uiPriority w:val="0"/>
    <w:pPr>
      <w:jc w:val="left"/>
    </w:pPr>
  </w:style>
  <w:style w:type="paragraph" w:styleId="7">
    <w:name w:val="Body Text Indent"/>
    <w:basedOn w:val="1"/>
    <w:qFormat/>
    <w:uiPriority w:val="0"/>
    <w:pPr>
      <w:spacing w:after="120"/>
      <w:ind w:left="420" w:leftChars="200"/>
    </w:p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0"/>
    <w:rPr>
      <w:sz w:val="24"/>
    </w:rPr>
  </w:style>
  <w:style w:type="paragraph" w:styleId="11">
    <w:name w:val="Body Text First Indent 2"/>
    <w:basedOn w:val="7"/>
    <w:unhideWhenUsed/>
    <w:qFormat/>
    <w:uiPriority w:val="0"/>
    <w:pPr>
      <w:ind w:firstLine="420" w:firstLineChars="200"/>
    </w:p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云东海街道办</Company>
  <Pages>21</Pages>
  <Words>8822</Words>
  <Characters>8960</Characters>
  <Lines>0</Lines>
  <Paragraphs>0</Paragraphs>
  <TotalTime>59</TotalTime>
  <ScaleCrop>false</ScaleCrop>
  <LinksUpToDate>false</LinksUpToDate>
  <CharactersWithSpaces>9264</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2024-05-30T03:13:00Z</dcterms:created>
  <dc:creator>丁丁</dc:creator>
  <cp:lastModifiedBy>Karen Ho</cp:lastModifiedBy>
  <cp:lastPrinted>2024-05-30T03:21:00Z</cp:lastPrinted>
  <dcterms:modified xsi:type="dcterms:W3CDTF">2026-11-02T06:27:42Z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77576798F7C44F329A98635E352A38A1</vt:lpwstr>
  </property>
  <property fmtid="{D5CDD505-2E9C-101B-9397-08002B2CF9AE}" pid="4" name="KSOTemplateDocerSaveRecord">
    <vt:lpwstr>eyJoZGlkIjoiZWIyMmIyMGNlZmM3YmZlNzliYjRhZTQ1YzA3NmVkODgiLCJ1c2VySWQiOiIxMzc0NzU0MzI2In0=</vt:lpwstr>
  </property>
</Properties>
</file>